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58" w:rsidRDefault="00B70290">
      <w:pPr>
        <w:pageBreakBefore/>
        <w:outlineLvl w:val="0"/>
        <w:rPr>
          <w:b/>
          <w:bCs/>
          <w:sz w:val="32"/>
          <w:szCs w:val="32"/>
        </w:rPr>
      </w:pPr>
      <w:bookmarkStart w:id="0" w:name="_Toc435006183"/>
      <w:bookmarkStart w:id="1" w:name="_Toc366248133"/>
      <w:bookmarkStart w:id="2" w:name="_Toc364753788"/>
      <w:bookmarkStart w:id="3" w:name="_Toc364675961"/>
      <w:bookmarkStart w:id="4" w:name="_GoBack"/>
      <w:bookmarkEnd w:id="4"/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：</w:t>
      </w:r>
      <w:bookmarkEnd w:id="0"/>
      <w:bookmarkEnd w:id="1"/>
      <w:bookmarkEnd w:id="2"/>
      <w:bookmarkEnd w:id="3"/>
    </w:p>
    <w:p w:rsidR="00BC6558" w:rsidRDefault="00B70290">
      <w:pPr>
        <w:spacing w:beforeLines="50" w:before="156" w:line="360" w:lineRule="auto"/>
        <w:jc w:val="center"/>
        <w:rPr>
          <w:bCs/>
          <w:sz w:val="24"/>
        </w:rPr>
      </w:pPr>
      <w:r>
        <w:rPr>
          <w:b/>
          <w:bCs/>
          <w:sz w:val="32"/>
          <w:szCs w:val="32"/>
        </w:rPr>
        <w:t>易混淆药品管理制度</w:t>
      </w:r>
    </w:p>
    <w:p w:rsidR="00BC6558" w:rsidRDefault="00B70290">
      <w:pPr>
        <w:spacing w:beforeLines="50" w:before="156" w:line="360" w:lineRule="auto"/>
        <w:ind w:firstLineChars="200" w:firstLine="480"/>
        <w:rPr>
          <w:bCs/>
          <w:sz w:val="24"/>
        </w:rPr>
      </w:pPr>
      <w:r>
        <w:rPr>
          <w:bCs/>
          <w:sz w:val="24"/>
        </w:rPr>
        <w:t>一、为加强药品管理，减少</w:t>
      </w:r>
      <w:r>
        <w:rPr>
          <w:rFonts w:hint="eastAsia"/>
          <w:bCs/>
          <w:sz w:val="24"/>
        </w:rPr>
        <w:t>用</w:t>
      </w:r>
      <w:r>
        <w:rPr>
          <w:bCs/>
          <w:sz w:val="24"/>
        </w:rPr>
        <w:t>药差错，确保用药安全，制定本制度。</w:t>
      </w:r>
    </w:p>
    <w:p w:rsidR="00BC6558" w:rsidRDefault="00B70290">
      <w:pPr>
        <w:spacing w:line="360" w:lineRule="auto"/>
        <w:ind w:firstLineChars="200" w:firstLine="480"/>
        <w:rPr>
          <w:bCs/>
          <w:sz w:val="24"/>
        </w:rPr>
      </w:pPr>
      <w:r>
        <w:rPr>
          <w:bCs/>
          <w:sz w:val="24"/>
        </w:rPr>
        <w:t>二、易混淆药品包括外观相似药品、名称相似药品、多规格药品和多剂型药品等。</w:t>
      </w:r>
      <w:r>
        <w:rPr>
          <w:bCs/>
          <w:sz w:val="24"/>
        </w:rPr>
        <w:t xml:space="preserve"> </w:t>
      </w:r>
    </w:p>
    <w:p w:rsidR="00BC6558" w:rsidRDefault="00B70290">
      <w:pPr>
        <w:spacing w:line="360" w:lineRule="auto"/>
        <w:ind w:firstLineChars="200" w:firstLine="480"/>
        <w:rPr>
          <w:bCs/>
          <w:sz w:val="24"/>
        </w:rPr>
      </w:pPr>
      <w:r>
        <w:rPr>
          <w:bCs/>
          <w:sz w:val="24"/>
        </w:rPr>
        <w:t>三、加强药品采购管理，尽可能避免包装相似药品、名称相似药品的采购，落</w:t>
      </w:r>
      <w:r>
        <w:rPr>
          <w:rFonts w:ascii="宋体" w:hAnsi="宋体"/>
          <w:bCs/>
          <w:sz w:val="24"/>
        </w:rPr>
        <w:t>实</w:t>
      </w:r>
      <w:r>
        <w:rPr>
          <w:rFonts w:ascii="宋体" w:hAnsi="宋体"/>
          <w:bCs/>
          <w:sz w:val="24"/>
        </w:rPr>
        <w:t>“</w:t>
      </w:r>
      <w:r>
        <w:rPr>
          <w:rFonts w:ascii="宋体" w:hAnsi="宋体"/>
          <w:bCs/>
          <w:sz w:val="24"/>
        </w:rPr>
        <w:t>一品双规</w:t>
      </w:r>
      <w:r>
        <w:rPr>
          <w:rFonts w:ascii="宋体" w:hAnsi="宋体"/>
          <w:bCs/>
          <w:sz w:val="24"/>
        </w:rPr>
        <w:t>”</w:t>
      </w:r>
      <w:r>
        <w:rPr>
          <w:rFonts w:ascii="宋体" w:hAnsi="宋体"/>
          <w:bCs/>
          <w:sz w:val="24"/>
        </w:rPr>
        <w:t>的</w:t>
      </w:r>
      <w:r>
        <w:rPr>
          <w:bCs/>
          <w:sz w:val="24"/>
        </w:rPr>
        <w:t>要求。</w:t>
      </w:r>
    </w:p>
    <w:p w:rsidR="00BC6558" w:rsidRDefault="00B70290">
      <w:pPr>
        <w:spacing w:line="360" w:lineRule="auto"/>
        <w:ind w:firstLineChars="200" w:firstLine="480"/>
        <w:rPr>
          <w:bCs/>
          <w:sz w:val="24"/>
        </w:rPr>
      </w:pPr>
      <w:r>
        <w:rPr>
          <w:bCs/>
          <w:sz w:val="24"/>
        </w:rPr>
        <w:t>四、医院根据药品供应情况制定易混淆药品目录，并定期修订，</w:t>
      </w:r>
      <w:r>
        <w:rPr>
          <w:rFonts w:hint="eastAsia"/>
          <w:bCs/>
          <w:sz w:val="24"/>
        </w:rPr>
        <w:t>同时加强易混淆药品的培训和宣传</w:t>
      </w:r>
      <w:r>
        <w:rPr>
          <w:bCs/>
          <w:sz w:val="24"/>
        </w:rPr>
        <w:t>。</w:t>
      </w:r>
    </w:p>
    <w:p w:rsidR="00BC6558" w:rsidRDefault="00B70290">
      <w:pPr>
        <w:spacing w:line="360" w:lineRule="auto"/>
        <w:ind w:firstLineChars="200" w:firstLine="480"/>
        <w:rPr>
          <w:sz w:val="24"/>
        </w:rPr>
      </w:pPr>
      <w:r>
        <w:rPr>
          <w:bCs/>
          <w:sz w:val="24"/>
        </w:rPr>
        <w:t>五、制定全院统一警示标识。外观相似药品、名称相似药品、多规格药品、多剂型药品分</w:t>
      </w:r>
      <w:r>
        <w:rPr>
          <w:rFonts w:ascii="宋体" w:hAnsi="宋体"/>
          <w:bCs/>
          <w:sz w:val="24"/>
        </w:rPr>
        <w:t>别以</w:t>
      </w:r>
      <w:r>
        <w:rPr>
          <w:rFonts w:ascii="宋体" w:hAnsi="宋体"/>
          <w:bCs/>
          <w:sz w:val="24"/>
        </w:rPr>
        <w:t>“</w:t>
      </w:r>
      <w:r>
        <w:rPr>
          <w:rFonts w:ascii="宋体" w:hAnsi="宋体"/>
          <w:bCs/>
          <w:sz w:val="24"/>
        </w:rPr>
        <w:t>看似</w:t>
      </w:r>
      <w:r>
        <w:rPr>
          <w:rFonts w:ascii="宋体" w:hAnsi="宋体"/>
          <w:bCs/>
          <w:sz w:val="24"/>
        </w:rPr>
        <w:t>”</w:t>
      </w:r>
      <w:r>
        <w:rPr>
          <w:rFonts w:ascii="宋体" w:hAnsi="宋体"/>
          <w:bCs/>
          <w:sz w:val="24"/>
        </w:rPr>
        <w:t>、</w:t>
      </w:r>
      <w:r>
        <w:rPr>
          <w:rFonts w:ascii="宋体" w:hAnsi="宋体"/>
          <w:bCs/>
          <w:sz w:val="24"/>
        </w:rPr>
        <w:t>“</w:t>
      </w:r>
      <w:r>
        <w:rPr>
          <w:rFonts w:ascii="宋体" w:hAnsi="宋体"/>
          <w:bCs/>
          <w:sz w:val="24"/>
        </w:rPr>
        <w:t>听似</w:t>
      </w:r>
      <w:r>
        <w:rPr>
          <w:rFonts w:ascii="宋体" w:hAnsi="宋体"/>
          <w:bCs/>
          <w:sz w:val="24"/>
        </w:rPr>
        <w:t>”</w:t>
      </w:r>
      <w:r>
        <w:rPr>
          <w:rFonts w:ascii="宋体" w:hAnsi="宋体"/>
          <w:bCs/>
          <w:sz w:val="24"/>
        </w:rPr>
        <w:t>、</w:t>
      </w:r>
      <w:r>
        <w:rPr>
          <w:rFonts w:ascii="宋体" w:hAnsi="宋体"/>
          <w:bCs/>
          <w:sz w:val="24"/>
        </w:rPr>
        <w:t>“</w:t>
      </w:r>
      <w:r>
        <w:rPr>
          <w:rFonts w:ascii="宋体" w:hAnsi="宋体"/>
          <w:bCs/>
          <w:sz w:val="24"/>
        </w:rPr>
        <w:t>多规格</w:t>
      </w:r>
      <w:r>
        <w:rPr>
          <w:rFonts w:ascii="宋体" w:hAnsi="宋体"/>
          <w:bCs/>
          <w:sz w:val="24"/>
        </w:rPr>
        <w:t>”</w:t>
      </w:r>
      <w:r>
        <w:rPr>
          <w:rFonts w:ascii="宋体" w:hAnsi="宋体"/>
          <w:bCs/>
          <w:sz w:val="24"/>
        </w:rPr>
        <w:t>、</w:t>
      </w:r>
      <w:r>
        <w:rPr>
          <w:rFonts w:ascii="宋体" w:hAnsi="宋体"/>
          <w:bCs/>
          <w:sz w:val="24"/>
        </w:rPr>
        <w:t>“</w:t>
      </w:r>
      <w:r>
        <w:rPr>
          <w:rFonts w:ascii="宋体" w:hAnsi="宋体"/>
          <w:bCs/>
          <w:sz w:val="24"/>
        </w:rPr>
        <w:t>多剂型</w:t>
      </w:r>
      <w:r>
        <w:rPr>
          <w:rFonts w:ascii="宋体" w:hAnsi="宋体"/>
          <w:bCs/>
          <w:sz w:val="24"/>
        </w:rPr>
        <w:t>”</w:t>
      </w:r>
      <w:r>
        <w:rPr>
          <w:bCs/>
          <w:sz w:val="24"/>
        </w:rPr>
        <w:t>等标识进行警示。警示标识必须与陈列药品一一对应，字迹清晰。</w:t>
      </w:r>
    </w:p>
    <w:p w:rsidR="00BC6558" w:rsidRDefault="00B70290">
      <w:pPr>
        <w:spacing w:line="360" w:lineRule="auto"/>
        <w:ind w:firstLineChars="200" w:firstLine="480"/>
        <w:rPr>
          <w:bCs/>
          <w:sz w:val="24"/>
        </w:rPr>
      </w:pPr>
      <w:r>
        <w:rPr>
          <w:bCs/>
          <w:sz w:val="24"/>
        </w:rPr>
        <w:t>六、药库、药房以及</w:t>
      </w:r>
      <w:r>
        <w:rPr>
          <w:rFonts w:hint="eastAsia"/>
          <w:bCs/>
          <w:sz w:val="24"/>
        </w:rPr>
        <w:t>各护理单元</w:t>
      </w:r>
      <w:r>
        <w:rPr>
          <w:bCs/>
          <w:sz w:val="24"/>
        </w:rPr>
        <w:t>应科学</w:t>
      </w:r>
      <w:r>
        <w:rPr>
          <w:bCs/>
          <w:sz w:val="24"/>
        </w:rPr>
        <w:t>规划药品摆放区域。易混淆药品应分开放置，分类存放，不得随意摆放。</w:t>
      </w:r>
    </w:p>
    <w:p w:rsidR="00BC6558" w:rsidRDefault="00B70290">
      <w:pPr>
        <w:spacing w:line="360" w:lineRule="auto"/>
        <w:ind w:firstLineChars="200" w:firstLine="480"/>
        <w:rPr>
          <w:bCs/>
          <w:sz w:val="24"/>
        </w:rPr>
      </w:pPr>
      <w:r>
        <w:rPr>
          <w:bCs/>
          <w:sz w:val="24"/>
        </w:rPr>
        <w:t>七、</w:t>
      </w:r>
      <w:r>
        <w:rPr>
          <w:rFonts w:hint="eastAsia"/>
          <w:bCs/>
          <w:sz w:val="24"/>
        </w:rPr>
        <w:t>医师开具易混淆药品时，应仔细核对</w:t>
      </w:r>
      <w:r>
        <w:rPr>
          <w:bCs/>
          <w:sz w:val="24"/>
        </w:rPr>
        <w:t>药品名称、规格、剂型</w:t>
      </w:r>
      <w:r>
        <w:rPr>
          <w:rFonts w:hint="eastAsia"/>
          <w:bCs/>
          <w:sz w:val="24"/>
        </w:rPr>
        <w:t>，适应症，确认医嘱无误。</w:t>
      </w:r>
    </w:p>
    <w:p w:rsidR="00BC6558" w:rsidRDefault="00B70290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八、</w:t>
      </w:r>
      <w:r>
        <w:rPr>
          <w:bCs/>
          <w:sz w:val="24"/>
        </w:rPr>
        <w:t>药师调剂易混淆药品时，应认真核对药品名称、规格、剂型等信息，确认无误后方</w:t>
      </w:r>
      <w:r>
        <w:rPr>
          <w:rFonts w:hint="eastAsia"/>
          <w:bCs/>
          <w:sz w:val="24"/>
        </w:rPr>
        <w:t>可</w:t>
      </w:r>
      <w:r>
        <w:rPr>
          <w:bCs/>
          <w:sz w:val="24"/>
        </w:rPr>
        <w:t>发放。</w:t>
      </w:r>
    </w:p>
    <w:p w:rsidR="00BC6558" w:rsidRDefault="00B70290">
      <w:pPr>
        <w:spacing w:line="360" w:lineRule="auto"/>
        <w:ind w:firstLineChars="200" w:firstLine="480"/>
        <w:rPr>
          <w:bCs/>
          <w:sz w:val="24"/>
        </w:rPr>
      </w:pPr>
      <w:r>
        <w:rPr>
          <w:bCs/>
          <w:sz w:val="24"/>
        </w:rPr>
        <w:t>八、护士配制易混淆药品时，应认真核对药品名称、</w:t>
      </w:r>
      <w:r>
        <w:rPr>
          <w:rFonts w:hint="eastAsia"/>
          <w:bCs/>
          <w:sz w:val="24"/>
        </w:rPr>
        <w:t>适应症、</w:t>
      </w:r>
      <w:r>
        <w:rPr>
          <w:bCs/>
          <w:sz w:val="24"/>
        </w:rPr>
        <w:t>规格</w:t>
      </w:r>
      <w:r>
        <w:rPr>
          <w:rFonts w:hint="eastAsia"/>
          <w:bCs/>
          <w:sz w:val="24"/>
        </w:rPr>
        <w:t>及剂型</w:t>
      </w:r>
      <w:r>
        <w:rPr>
          <w:bCs/>
          <w:sz w:val="24"/>
        </w:rPr>
        <w:t>等，确认无误后方可配制、给药。</w:t>
      </w:r>
    </w:p>
    <w:p w:rsidR="00BC6558" w:rsidRDefault="00B70290">
      <w:pPr>
        <w:spacing w:line="360" w:lineRule="auto"/>
        <w:ind w:firstLineChars="200" w:firstLine="480"/>
        <w:rPr>
          <w:bCs/>
          <w:sz w:val="24"/>
        </w:rPr>
      </w:pPr>
      <w:r>
        <w:rPr>
          <w:sz w:val="24"/>
        </w:rPr>
        <w:t>九、</w:t>
      </w:r>
      <w:r>
        <w:rPr>
          <w:rFonts w:hint="eastAsia"/>
          <w:bCs/>
          <w:sz w:val="24"/>
        </w:rPr>
        <w:t>药学部</w:t>
      </w:r>
      <w:r>
        <w:rPr>
          <w:bCs/>
          <w:sz w:val="24"/>
        </w:rPr>
        <w:t>定期对全院易混淆药品的使用情况进行检查</w:t>
      </w:r>
      <w:r>
        <w:rPr>
          <w:rFonts w:hint="eastAsia"/>
          <w:bCs/>
          <w:sz w:val="24"/>
        </w:rPr>
        <w:t>和</w:t>
      </w:r>
      <w:r>
        <w:rPr>
          <w:bCs/>
          <w:sz w:val="24"/>
        </w:rPr>
        <w:t>反馈。</w:t>
      </w:r>
    </w:p>
    <w:p w:rsidR="00BC6558" w:rsidRDefault="00B70290">
      <w:pPr>
        <w:rPr>
          <w:bCs/>
          <w:sz w:val="24"/>
        </w:rPr>
      </w:pPr>
      <w:r>
        <w:rPr>
          <w:bCs/>
          <w:sz w:val="24"/>
        </w:rPr>
        <w:br w:type="page"/>
      </w:r>
    </w:p>
    <w:p w:rsidR="00BC6558" w:rsidRDefault="00B70290">
      <w:pPr>
        <w:pStyle w:val="1"/>
        <w:jc w:val="left"/>
        <w:rPr>
          <w:rFonts w:ascii="宋体" w:hAnsi="宋体"/>
        </w:rPr>
      </w:pPr>
      <w:bookmarkStart w:id="5" w:name="_Toc433955976"/>
      <w:bookmarkStart w:id="6" w:name="_Toc433809930"/>
      <w:bookmarkStart w:id="7" w:name="_Toc533604352"/>
      <w:r>
        <w:rPr>
          <w:rFonts w:ascii="宋体" w:hAnsi="宋体" w:hint="eastAsia"/>
        </w:rPr>
        <w:lastRenderedPageBreak/>
        <w:t>附件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：</w:t>
      </w:r>
    </w:p>
    <w:p w:rsidR="00BC6558" w:rsidRDefault="00B70290">
      <w:pPr>
        <w:pStyle w:val="1"/>
        <w:rPr>
          <w:rFonts w:ascii="宋体" w:hAnsi="宋体"/>
        </w:rPr>
      </w:pPr>
      <w:r>
        <w:rPr>
          <w:rFonts w:ascii="宋体" w:hAnsi="宋体"/>
        </w:rPr>
        <w:t>易混淆药品目录</w:t>
      </w:r>
      <w:bookmarkEnd w:id="5"/>
      <w:bookmarkEnd w:id="6"/>
      <w:bookmarkEnd w:id="7"/>
    </w:p>
    <w:p w:rsidR="00BC6558" w:rsidRDefault="00B70290">
      <w:pPr>
        <w:numPr>
          <w:ilvl w:val="0"/>
          <w:numId w:val="1"/>
        </w:num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28"/>
          <w:szCs w:val="28"/>
        </w:rPr>
        <w:t>外观相似药品目录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1"/>
        <w:gridCol w:w="4291"/>
      </w:tblGrid>
      <w:tr w:rsidR="00BC6558">
        <w:trPr>
          <w:trHeight w:hRule="exact" w:val="567"/>
        </w:trPr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药物名称</w:t>
            </w: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药物名称</w:t>
            </w:r>
          </w:p>
        </w:tc>
      </w:tr>
      <w:tr w:rsidR="00BC6558">
        <w:trPr>
          <w:trHeight w:hRule="exact" w:val="567"/>
        </w:trPr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甲磺酸多沙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唑嗪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缓释片（可多华）</w:t>
            </w: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阿托伐他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汀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钙片（立普妥）</w:t>
            </w:r>
          </w:p>
        </w:tc>
      </w:tr>
      <w:tr w:rsidR="00BC6558">
        <w:trPr>
          <w:trHeight w:hRule="exact" w:val="567"/>
        </w:trPr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hint="eastAsia"/>
                <w:kern w:val="0"/>
                <w:szCs w:val="21"/>
              </w:rPr>
              <w:t>普瑞巴林胶囊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乐瑞卡</w:t>
            </w:r>
            <w:r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阿托伐他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汀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钙片（立普妥）</w:t>
            </w:r>
          </w:p>
        </w:tc>
      </w:tr>
      <w:tr w:rsidR="00BC6558">
        <w:trPr>
          <w:trHeight w:hRule="exact" w:val="567"/>
        </w:trPr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苯磺酸氨氯地平片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络活喜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普瑞巴林胶囊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乐瑞卡</w:t>
            </w:r>
            <w:r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</w:tr>
      <w:tr w:rsidR="00BC6558">
        <w:trPr>
          <w:trHeight w:hRule="exact" w:val="567"/>
        </w:trPr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盐酸舍曲林片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左洛复</w:t>
            </w:r>
            <w:r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阿奇霉素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片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希舒美</w:t>
            </w:r>
            <w:r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</w:tr>
      <w:tr w:rsidR="00BC6558">
        <w:trPr>
          <w:trHeight w:hRule="exact" w:val="567"/>
        </w:trPr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非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洛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地平缓释片（波依定</w:t>
            </w:r>
            <w:r>
              <w:rPr>
                <w:rFonts w:ascii="宋体" w:hAnsi="宋体"/>
                <w:kern w:val="0"/>
                <w:szCs w:val="21"/>
              </w:rPr>
              <w:t>2.5mg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非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洛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地平缓释片（波依定</w:t>
            </w:r>
            <w:r>
              <w:rPr>
                <w:rFonts w:ascii="宋体" w:hAnsi="宋体"/>
                <w:kern w:val="0"/>
                <w:szCs w:val="21"/>
              </w:rPr>
              <w:t>5.0mg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</w:tr>
      <w:tr w:rsidR="00BC6558">
        <w:trPr>
          <w:trHeight w:hRule="exact" w:val="567"/>
        </w:trPr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注射用重组人干扰素</w:t>
            </w:r>
            <w:r>
              <w:rPr>
                <w:rFonts w:ascii="宋体" w:hAnsi="宋体"/>
                <w:kern w:val="0"/>
                <w:szCs w:val="21"/>
              </w:rPr>
              <w:t>α1b</w:t>
            </w:r>
          </w:p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（赛若金</w:t>
            </w:r>
            <w:r>
              <w:rPr>
                <w:rFonts w:ascii="宋体" w:hAnsi="宋体"/>
                <w:kern w:val="0"/>
                <w:szCs w:val="21"/>
              </w:rPr>
              <w:t>50μg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注射用重组人干扰素</w:t>
            </w:r>
            <w:r>
              <w:rPr>
                <w:rFonts w:ascii="宋体" w:hAnsi="宋体"/>
                <w:kern w:val="0"/>
                <w:szCs w:val="21"/>
              </w:rPr>
              <w:t>α1b</w:t>
            </w:r>
          </w:p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（赛若金</w:t>
            </w:r>
            <w:r>
              <w:rPr>
                <w:rFonts w:ascii="宋体" w:hAnsi="宋体"/>
                <w:kern w:val="0"/>
                <w:szCs w:val="21"/>
              </w:rPr>
              <w:t>30μg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</w:tr>
      <w:tr w:rsidR="00BC6558">
        <w:trPr>
          <w:trHeight w:hRule="exact" w:val="567"/>
        </w:trPr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埃索美拉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唑镁肠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溶片（</w:t>
            </w:r>
            <w:r>
              <w:rPr>
                <w:rFonts w:ascii="宋体" w:hAnsi="宋体"/>
                <w:kern w:val="0"/>
                <w:szCs w:val="21"/>
              </w:rPr>
              <w:t>40mg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埃索美拉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唑镁肠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溶片（</w:t>
            </w:r>
            <w:r>
              <w:rPr>
                <w:rFonts w:ascii="宋体" w:hAnsi="宋体"/>
                <w:kern w:val="0"/>
                <w:szCs w:val="21"/>
              </w:rPr>
              <w:t>20mg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</w:tr>
      <w:tr w:rsidR="00BC6558">
        <w:trPr>
          <w:trHeight w:hRule="exact" w:val="567"/>
        </w:trPr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氯硝西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泮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片</w:t>
            </w: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硝基西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泮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片</w:t>
            </w:r>
          </w:p>
        </w:tc>
      </w:tr>
      <w:tr w:rsidR="00BC6558">
        <w:trPr>
          <w:trHeight w:hRule="exact" w:val="567"/>
        </w:trPr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注射用七叶皂苷钠（</w:t>
            </w:r>
            <w:r>
              <w:rPr>
                <w:rFonts w:ascii="宋体" w:hAnsi="宋体" w:hint="eastAsia"/>
                <w:kern w:val="0"/>
                <w:szCs w:val="21"/>
              </w:rPr>
              <w:t>5mg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注射用还原型谷胱甘肽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绿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汀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诺</w:t>
            </w:r>
            <w:r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</w:tr>
      <w:tr w:rsidR="00BC6558">
        <w:trPr>
          <w:trHeight w:hRule="exact" w:val="567"/>
        </w:trPr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注射用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帕瑞昔布钠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特耐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) </w:t>
            </w: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注射用头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孢哌酮钠舒巴坦钠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舒普深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) </w:t>
            </w:r>
          </w:p>
        </w:tc>
      </w:tr>
      <w:tr w:rsidR="00BC6558">
        <w:trPr>
          <w:trHeight w:hRule="exact" w:val="567"/>
        </w:trPr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重组人血小板生成素注射液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特比澳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重组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人促红素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注射液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益比奥</w:t>
            </w:r>
            <w:r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</w:tr>
      <w:tr w:rsidR="00BC6558">
        <w:trPr>
          <w:trHeight w:val="567"/>
        </w:trPr>
        <w:tc>
          <w:tcPr>
            <w:tcW w:w="4291" w:type="dxa"/>
            <w:vMerge w:val="restart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造影剂</w:t>
            </w: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碘克沙醇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注射液（</w:t>
            </w:r>
            <w:r>
              <w:rPr>
                <w:rFonts w:ascii="宋体" w:hAnsi="宋体" w:hint="eastAsia"/>
                <w:kern w:val="0"/>
                <w:szCs w:val="21"/>
              </w:rPr>
              <w:t>100ml:65.2g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BC6558">
        <w:trPr>
          <w:trHeight w:val="567"/>
        </w:trPr>
        <w:tc>
          <w:tcPr>
            <w:tcW w:w="4291" w:type="dxa"/>
            <w:vMerge/>
            <w:vAlign w:val="center"/>
          </w:tcPr>
          <w:p w:rsidR="00BC6558" w:rsidRDefault="00BC6558"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碘佛醇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注射液（</w:t>
            </w:r>
            <w:r>
              <w:rPr>
                <w:rFonts w:ascii="宋体" w:hAnsi="宋体" w:hint="eastAsia"/>
                <w:kern w:val="0"/>
                <w:szCs w:val="21"/>
              </w:rPr>
              <w:t>100ml:74.1g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BC6558">
        <w:trPr>
          <w:trHeight w:val="567"/>
        </w:trPr>
        <w:tc>
          <w:tcPr>
            <w:tcW w:w="4291" w:type="dxa"/>
            <w:vMerge/>
            <w:vAlign w:val="center"/>
          </w:tcPr>
          <w:p w:rsidR="00BC6558" w:rsidRDefault="00BC6558"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碘普罗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胺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注射液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优维显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>70mg:100ml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BC6558">
        <w:trPr>
          <w:trHeight w:val="567"/>
        </w:trPr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大株红景天注射液（</w:t>
            </w:r>
            <w:r>
              <w:rPr>
                <w:rFonts w:ascii="宋体" w:hAnsi="宋体" w:hint="eastAsia"/>
                <w:kern w:val="0"/>
                <w:szCs w:val="21"/>
              </w:rPr>
              <w:t>5 ml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左卡尼汀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注射液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东维力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BC6558">
        <w:trPr>
          <w:trHeight w:val="567"/>
        </w:trPr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硫酸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依替米星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氯化钠注射液（</w:t>
            </w:r>
            <w:r>
              <w:rPr>
                <w:rFonts w:ascii="宋体" w:hAnsi="宋体"/>
                <w:kern w:val="0"/>
                <w:szCs w:val="21"/>
              </w:rPr>
              <w:t>100ml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  <w:tc>
          <w:tcPr>
            <w:tcW w:w="4291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盐酸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溴己新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葡萄糖注射液（</w:t>
            </w:r>
            <w:r>
              <w:rPr>
                <w:rFonts w:ascii="宋体" w:hAnsi="宋体"/>
                <w:kern w:val="0"/>
                <w:szCs w:val="21"/>
              </w:rPr>
              <w:t>100ml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</w:tr>
    </w:tbl>
    <w:p w:rsidR="00BC6558" w:rsidRDefault="00BC6558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BC6558" w:rsidRDefault="00BC6558">
      <w:pPr>
        <w:spacing w:line="360" w:lineRule="auto"/>
        <w:rPr>
          <w:rFonts w:ascii="宋体" w:hAnsi="宋体"/>
          <w:b/>
          <w:sz w:val="32"/>
          <w:szCs w:val="32"/>
        </w:rPr>
        <w:sectPr w:rsidR="00BC655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C6558" w:rsidRDefault="00B70290">
      <w:pPr>
        <w:numPr>
          <w:ilvl w:val="0"/>
          <w:numId w:val="1"/>
        </w:num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品名相似药品目录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36"/>
      </w:tblGrid>
      <w:tr w:rsidR="00BC6558">
        <w:trPr>
          <w:trHeight w:hRule="exact" w:val="567"/>
        </w:trPr>
        <w:tc>
          <w:tcPr>
            <w:tcW w:w="4503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药品名称</w:t>
            </w:r>
          </w:p>
        </w:tc>
        <w:tc>
          <w:tcPr>
            <w:tcW w:w="4536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药品名称</w:t>
            </w:r>
          </w:p>
        </w:tc>
      </w:tr>
      <w:tr w:rsidR="00BC6558">
        <w:trPr>
          <w:trHeight w:hRule="exact" w:val="567"/>
        </w:trPr>
        <w:tc>
          <w:tcPr>
            <w:tcW w:w="4503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门冬胰岛素注射液（诺和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锐笔芯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  <w:tc>
          <w:tcPr>
            <w:tcW w:w="4536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门冬胰岛素注射液（特充）（诺和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锐特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充）</w:t>
            </w:r>
          </w:p>
        </w:tc>
      </w:tr>
      <w:tr w:rsidR="00BC6558">
        <w:trPr>
          <w:trHeight w:hRule="exact" w:val="567"/>
        </w:trPr>
        <w:tc>
          <w:tcPr>
            <w:tcW w:w="4503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门冬胰岛素</w:t>
            </w:r>
            <w:r>
              <w:rPr>
                <w:rFonts w:ascii="宋体" w:hAnsi="宋体"/>
                <w:kern w:val="0"/>
                <w:szCs w:val="21"/>
              </w:rPr>
              <w:t>30</w:t>
            </w:r>
            <w:r>
              <w:rPr>
                <w:rFonts w:ascii="宋体" w:hAnsi="宋体"/>
                <w:kern w:val="0"/>
                <w:szCs w:val="21"/>
              </w:rPr>
              <w:t>注射液（诺和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锐</w:t>
            </w:r>
            <w:r>
              <w:rPr>
                <w:rFonts w:ascii="宋体" w:hAnsi="宋体"/>
                <w:kern w:val="0"/>
                <w:szCs w:val="21"/>
              </w:rPr>
              <w:t>30</w:t>
            </w:r>
            <w:r>
              <w:rPr>
                <w:rFonts w:ascii="宋体" w:hAnsi="宋体"/>
                <w:kern w:val="0"/>
                <w:szCs w:val="21"/>
              </w:rPr>
              <w:t>笔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芯）</w:t>
            </w:r>
          </w:p>
        </w:tc>
        <w:tc>
          <w:tcPr>
            <w:tcW w:w="4536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门冬胰岛素</w:t>
            </w:r>
            <w:r>
              <w:rPr>
                <w:rFonts w:ascii="宋体" w:hAnsi="宋体"/>
                <w:kern w:val="0"/>
                <w:szCs w:val="21"/>
              </w:rPr>
              <w:t>30</w:t>
            </w:r>
            <w:r>
              <w:rPr>
                <w:rFonts w:ascii="宋体" w:hAnsi="宋体"/>
                <w:kern w:val="0"/>
                <w:szCs w:val="21"/>
              </w:rPr>
              <w:t>注射液（诺和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锐</w:t>
            </w:r>
            <w:r>
              <w:rPr>
                <w:rFonts w:ascii="宋体" w:hAnsi="宋体"/>
                <w:kern w:val="0"/>
                <w:szCs w:val="21"/>
              </w:rPr>
              <w:t>30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特充）</w:t>
            </w:r>
          </w:p>
        </w:tc>
      </w:tr>
      <w:tr w:rsidR="00BC6558">
        <w:trPr>
          <w:trHeight w:hRule="exact" w:val="567"/>
        </w:trPr>
        <w:tc>
          <w:tcPr>
            <w:tcW w:w="4503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地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特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胰岛素注射液（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诺和平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笔芯）</w:t>
            </w:r>
          </w:p>
        </w:tc>
        <w:tc>
          <w:tcPr>
            <w:tcW w:w="4536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地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特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胰岛素注射液（特充）（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诺和平特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充）</w:t>
            </w:r>
          </w:p>
        </w:tc>
      </w:tr>
      <w:tr w:rsidR="00BC6558">
        <w:trPr>
          <w:trHeight w:hRule="exact" w:val="567"/>
        </w:trPr>
        <w:tc>
          <w:tcPr>
            <w:tcW w:w="4503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注射用单磷酸阿糖腺苷</w:t>
            </w:r>
          </w:p>
        </w:tc>
        <w:tc>
          <w:tcPr>
            <w:tcW w:w="4536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注射用盐酸阿糖胞苷</w:t>
            </w:r>
          </w:p>
        </w:tc>
      </w:tr>
      <w:tr w:rsidR="00BC6558">
        <w:trPr>
          <w:trHeight w:hRule="exact" w:val="567"/>
        </w:trPr>
        <w:tc>
          <w:tcPr>
            <w:tcW w:w="4503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重组牛碱性成纤维细胞生长因子外用液</w:t>
            </w:r>
          </w:p>
        </w:tc>
        <w:tc>
          <w:tcPr>
            <w:tcW w:w="4536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重组牛碱性成纤维细胞生长因子滴眼液</w:t>
            </w:r>
          </w:p>
        </w:tc>
      </w:tr>
      <w:tr w:rsidR="00BC6558">
        <w:trPr>
          <w:trHeight w:hRule="exact" w:val="567"/>
        </w:trPr>
        <w:tc>
          <w:tcPr>
            <w:tcW w:w="4503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丙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酸氟替卡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松吸入气雾剂</w:t>
            </w:r>
          </w:p>
        </w:tc>
        <w:tc>
          <w:tcPr>
            <w:tcW w:w="4536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丙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酸氟替卡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松鼻喷雾剂</w:t>
            </w:r>
          </w:p>
        </w:tc>
      </w:tr>
      <w:tr w:rsidR="00BC6558">
        <w:trPr>
          <w:trHeight w:hRule="exact" w:val="567"/>
        </w:trPr>
        <w:tc>
          <w:tcPr>
            <w:tcW w:w="4503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/>
                <w:kern w:val="0"/>
                <w:szCs w:val="21"/>
              </w:rPr>
              <w:t>典伏前列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素滴眼液</w:t>
            </w:r>
          </w:p>
        </w:tc>
        <w:tc>
          <w:tcPr>
            <w:tcW w:w="4536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拉坦前列素滴眼液</w:t>
            </w:r>
          </w:p>
        </w:tc>
      </w:tr>
      <w:tr w:rsidR="00BC6558">
        <w:trPr>
          <w:trHeight w:hRule="exact" w:val="567"/>
        </w:trPr>
        <w:tc>
          <w:tcPr>
            <w:tcW w:w="4503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阴道用乳杆菌活菌胶囊</w:t>
            </w:r>
          </w:p>
        </w:tc>
        <w:tc>
          <w:tcPr>
            <w:tcW w:w="4536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乳酸菌阴道用胶囊</w:t>
            </w:r>
          </w:p>
        </w:tc>
      </w:tr>
      <w:tr w:rsidR="00BC6558">
        <w:trPr>
          <w:trHeight w:hRule="exact" w:val="567"/>
        </w:trPr>
        <w:tc>
          <w:tcPr>
            <w:tcW w:w="4503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/>
                <w:kern w:val="0"/>
                <w:szCs w:val="21"/>
              </w:rPr>
              <w:t>丙戊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酸钠缓释片</w:t>
            </w:r>
          </w:p>
        </w:tc>
        <w:tc>
          <w:tcPr>
            <w:tcW w:w="4536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/>
                <w:kern w:val="0"/>
                <w:szCs w:val="21"/>
              </w:rPr>
              <w:t>丙戊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酸镁缓释片</w:t>
            </w:r>
          </w:p>
        </w:tc>
      </w:tr>
      <w:tr w:rsidR="00BC6558">
        <w:trPr>
          <w:trHeight w:hRule="exact" w:val="567"/>
        </w:trPr>
        <w:tc>
          <w:tcPr>
            <w:tcW w:w="4503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熊去氧胆酸胶囊</w:t>
            </w:r>
          </w:p>
        </w:tc>
        <w:tc>
          <w:tcPr>
            <w:tcW w:w="4536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牛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磺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去氧胆酸胶囊</w:t>
            </w:r>
          </w:p>
        </w:tc>
      </w:tr>
      <w:tr w:rsidR="00BC6558">
        <w:trPr>
          <w:trHeight w:hRule="exact" w:val="567"/>
        </w:trPr>
        <w:tc>
          <w:tcPr>
            <w:tcW w:w="4503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水飞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蓟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素胶囊</w:t>
            </w:r>
          </w:p>
        </w:tc>
        <w:tc>
          <w:tcPr>
            <w:tcW w:w="4536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水飞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蓟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宾胶囊</w:t>
            </w:r>
          </w:p>
        </w:tc>
      </w:tr>
      <w:tr w:rsidR="00BC6558">
        <w:trPr>
          <w:trHeight w:hRule="exact" w:val="567"/>
        </w:trPr>
        <w:tc>
          <w:tcPr>
            <w:tcW w:w="4503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苯磺酸氨氯地平片</w:t>
            </w:r>
          </w:p>
        </w:tc>
        <w:tc>
          <w:tcPr>
            <w:tcW w:w="4536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苯磺酸左旋氨氯地平片</w:t>
            </w:r>
          </w:p>
        </w:tc>
      </w:tr>
      <w:tr w:rsidR="00BC6558">
        <w:trPr>
          <w:trHeight w:hRule="exact" w:val="567"/>
        </w:trPr>
        <w:tc>
          <w:tcPr>
            <w:tcW w:w="4503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注射用替考拉宁</w:t>
            </w:r>
          </w:p>
        </w:tc>
        <w:tc>
          <w:tcPr>
            <w:tcW w:w="4536" w:type="dxa"/>
            <w:vAlign w:val="center"/>
          </w:tcPr>
          <w:p w:rsidR="00BC6558" w:rsidRDefault="00B7029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注射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用替加环素</w:t>
            </w:r>
            <w:proofErr w:type="gramEnd"/>
          </w:p>
        </w:tc>
      </w:tr>
    </w:tbl>
    <w:p w:rsidR="00BC6558" w:rsidRDefault="00BC6558">
      <w:pPr>
        <w:spacing w:line="360" w:lineRule="auto"/>
        <w:rPr>
          <w:bCs/>
          <w:sz w:val="24"/>
        </w:rPr>
      </w:pPr>
    </w:p>
    <w:p w:rsidR="00BC6558" w:rsidRDefault="00BC6558"/>
    <w:sectPr w:rsidR="00BC6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28B47A"/>
    <w:multiLevelType w:val="singleLevel"/>
    <w:tmpl w:val="F628B47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58"/>
    <w:rsid w:val="00B70290"/>
    <w:rsid w:val="00BC6558"/>
    <w:rsid w:val="1B64539B"/>
    <w:rsid w:val="49FF6C43"/>
    <w:rsid w:val="522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adjustRightInd w:val="0"/>
      <w:spacing w:before="120"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adjustRightInd w:val="0"/>
      <w:spacing w:before="120"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1149</Characters>
  <Application>Microsoft Office Word</Application>
  <DocSecurity>0</DocSecurity>
  <Lines>9</Lines>
  <Paragraphs>2</Paragraphs>
  <ScaleCrop>false</ScaleCrop>
  <Company>china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院长办公室</cp:lastModifiedBy>
  <cp:revision>2</cp:revision>
  <dcterms:created xsi:type="dcterms:W3CDTF">2019-12-12T06:37:00Z</dcterms:created>
  <dcterms:modified xsi:type="dcterms:W3CDTF">2019-12-12T06:37:00Z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