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textAlignment w:val="center"/>
        <w:rPr>
          <w:rFonts w:ascii="华文仿宋" w:hAnsi="华文仿宋" w:eastAsia="华文仿宋"/>
          <w:color w:val="000000"/>
          <w:sz w:val="28"/>
          <w:szCs w:val="28"/>
        </w:rPr>
      </w:pPr>
      <w:r>
        <w:rPr>
          <w:rFonts w:hint="eastAsia" w:ascii="华文仿宋" w:hAnsi="华文仿宋" w:eastAsia="华文仿宋"/>
          <w:color w:val="000000"/>
          <w:sz w:val="28"/>
          <w:szCs w:val="28"/>
        </w:rPr>
        <w:t>附件一</w:t>
      </w:r>
    </w:p>
    <w:p>
      <w:pPr>
        <w:pStyle w:val="23"/>
        <w:autoSpaceDN w:val="0"/>
        <w:spacing w:line="600" w:lineRule="exact"/>
        <w:jc w:val="center"/>
        <w:rPr>
          <w:rFonts w:ascii="宋体" w:hAnsi="宋体"/>
          <w:b/>
          <w:color w:val="2F2F2F"/>
          <w:sz w:val="40"/>
          <w:szCs w:val="40"/>
        </w:rPr>
      </w:pPr>
    </w:p>
    <w:p>
      <w:pPr>
        <w:pStyle w:val="23"/>
        <w:autoSpaceDN w:val="0"/>
        <w:spacing w:line="600" w:lineRule="exact"/>
        <w:jc w:val="center"/>
        <w:rPr>
          <w:rFonts w:ascii="宋体" w:hAnsi="宋体"/>
          <w:b/>
          <w:color w:val="2F2F2F"/>
          <w:sz w:val="40"/>
          <w:szCs w:val="40"/>
        </w:rPr>
      </w:pPr>
      <w:r>
        <w:rPr>
          <w:rFonts w:hint="eastAsia" w:ascii="宋体" w:hAnsi="宋体"/>
          <w:b/>
          <w:color w:val="2F2F2F"/>
          <w:sz w:val="40"/>
          <w:szCs w:val="40"/>
        </w:rPr>
        <w:t>西安交通大学研究生教育</w:t>
      </w:r>
    </w:p>
    <w:p>
      <w:pPr>
        <w:pStyle w:val="23"/>
        <w:autoSpaceDN w:val="0"/>
        <w:spacing w:line="600" w:lineRule="exact"/>
        <w:jc w:val="center"/>
        <w:rPr>
          <w:rFonts w:ascii="宋体" w:hAnsi="宋体"/>
          <w:b/>
          <w:color w:val="2F2F2F"/>
          <w:sz w:val="40"/>
          <w:szCs w:val="40"/>
        </w:rPr>
      </w:pPr>
      <w:r>
        <w:rPr>
          <w:rFonts w:hint="eastAsia" w:ascii="宋体" w:hAnsi="宋体"/>
          <w:b/>
          <w:color w:val="2F2F2F"/>
          <w:sz w:val="40"/>
          <w:szCs w:val="40"/>
        </w:rPr>
        <w:t>优秀导师、优秀导师团队评选办法（试行）</w:t>
      </w:r>
    </w:p>
    <w:p>
      <w:pPr>
        <w:pStyle w:val="23"/>
        <w:autoSpaceDN w:val="0"/>
        <w:spacing w:line="520" w:lineRule="exact"/>
        <w:jc w:val="center"/>
        <w:rPr>
          <w:rFonts w:ascii="楷体" w:hAnsi="楷体" w:eastAsia="楷体" w:cs="仿宋_GB2312"/>
          <w:color w:val="000000"/>
          <w:sz w:val="28"/>
          <w:szCs w:val="28"/>
        </w:rPr>
      </w:pPr>
      <w:r>
        <w:rPr>
          <w:rFonts w:hint="eastAsia" w:ascii="楷体" w:hAnsi="楷体" w:eastAsia="楷体" w:cs="仿宋_GB2312"/>
          <w:color w:val="000000"/>
          <w:sz w:val="28"/>
          <w:szCs w:val="28"/>
        </w:rPr>
        <w:t>（</w:t>
      </w:r>
      <w:r>
        <w:rPr>
          <w:rFonts w:hint="eastAsia" w:ascii="楷体" w:hAnsi="楷体" w:eastAsia="楷体" w:cs="宋体"/>
          <w:sz w:val="28"/>
          <w:szCs w:val="28"/>
        </w:rPr>
        <w:t>经2016年12月27日校党委常委会议审议通过</w:t>
      </w:r>
      <w:r>
        <w:rPr>
          <w:rFonts w:hint="eastAsia" w:ascii="楷体" w:hAnsi="楷体" w:eastAsia="楷体" w:cs="仿宋_GB2312"/>
          <w:color w:val="000000"/>
          <w:sz w:val="28"/>
          <w:szCs w:val="28"/>
        </w:rPr>
        <w:t>）</w:t>
      </w:r>
    </w:p>
    <w:p>
      <w:pPr>
        <w:pStyle w:val="23"/>
        <w:autoSpaceDN w:val="0"/>
        <w:spacing w:before="156" w:beforeLines="50" w:after="156" w:afterLines="50" w:line="520" w:lineRule="exact"/>
        <w:jc w:val="center"/>
        <w:rPr>
          <w:rFonts w:ascii="黑体" w:hAnsi="黑体" w:eastAsia="黑体" w:cs="仿宋_GB2312"/>
          <w:color w:val="000000"/>
          <w:sz w:val="28"/>
          <w:szCs w:val="28"/>
        </w:rPr>
      </w:pPr>
      <w:r>
        <w:rPr>
          <w:rFonts w:hint="eastAsia" w:ascii="黑体" w:hAnsi="黑体" w:eastAsia="黑体" w:cs="仿宋_GB2312"/>
          <w:color w:val="000000"/>
          <w:sz w:val="28"/>
          <w:szCs w:val="28"/>
        </w:rPr>
        <w:t>第一章  总  则</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第一条</w:t>
      </w:r>
      <w:r>
        <w:rPr>
          <w:rFonts w:hint="eastAsia" w:ascii="仿宋_GB2312" w:hAnsi="仿宋" w:eastAsia="仿宋_GB2312" w:cs="仿宋_GB2312"/>
          <w:color w:val="000000"/>
          <w:sz w:val="28"/>
          <w:szCs w:val="28"/>
        </w:rPr>
        <w:t xml:space="preserve">  为进一步加强研究生导师和导师团队建设，表彰在我校学位与研究生教育工作中做出突出成绩的研究生指导教师（以下简称优秀导师）和导师团队（以下简称优秀团队），树立为人师表典范，引领和带动我校导师队伍整体水平的提高，根据《西安交通大学关于加强研究生教育质量保障与监督体系建设的若干意见》(西交研</w:t>
      </w:r>
      <w:r>
        <w:rPr>
          <w:rFonts w:hint="eastAsia" w:ascii="仿宋_GB2312" w:hAnsi="仿宋" w:eastAsia="仿宋" w:cs="仿宋_GB2312"/>
          <w:color w:val="000000"/>
          <w:sz w:val="28"/>
          <w:szCs w:val="28"/>
        </w:rPr>
        <w:t>﹝</w:t>
      </w:r>
      <w:r>
        <w:rPr>
          <w:rFonts w:hint="eastAsia" w:ascii="仿宋_GB2312" w:hAnsi="仿宋" w:eastAsia="仿宋_GB2312" w:cs="仿宋_GB2312"/>
          <w:color w:val="000000"/>
          <w:sz w:val="28"/>
          <w:szCs w:val="28"/>
        </w:rPr>
        <w:t>2016</w:t>
      </w:r>
      <w:r>
        <w:rPr>
          <w:rFonts w:hint="eastAsia" w:ascii="仿宋_GB2312" w:hAnsi="仿宋" w:eastAsia="仿宋" w:cs="仿宋_GB2312"/>
          <w:color w:val="000000"/>
          <w:sz w:val="28"/>
          <w:szCs w:val="28"/>
        </w:rPr>
        <w:t>﹞</w:t>
      </w:r>
      <w:r>
        <w:rPr>
          <w:rFonts w:hint="eastAsia" w:ascii="仿宋_GB2312" w:hAnsi="仿宋" w:eastAsia="仿宋_GB2312" w:cs="仿宋_GB2312"/>
          <w:color w:val="000000"/>
          <w:sz w:val="28"/>
          <w:szCs w:val="28"/>
        </w:rPr>
        <w:t>60号)精神，结合实际，制定本办法。</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 xml:space="preserve">第二条  </w:t>
      </w:r>
      <w:r>
        <w:rPr>
          <w:rFonts w:hint="eastAsia" w:ascii="仿宋_GB2312" w:eastAsia="仿宋_GB2312" w:cs="仿宋_GB2312"/>
          <w:color w:val="000000"/>
          <w:sz w:val="28"/>
          <w:szCs w:val="28"/>
        </w:rPr>
        <w:t>优秀导师和优秀团队评选遵循公平公开、择优遴选、宁缺勿滥的原则，</w:t>
      </w:r>
      <w:r>
        <w:rPr>
          <w:rFonts w:hint="eastAsia" w:ascii="仿宋_GB2312" w:hAnsi="仿宋" w:eastAsia="仿宋_GB2312" w:cs="仿宋_GB2312"/>
          <w:color w:val="000000"/>
          <w:sz w:val="28"/>
          <w:szCs w:val="28"/>
        </w:rPr>
        <w:t>通过“德、能、勤、效”四个维度的综合考察，遴选“有理想信念，有道德情操，有扎实学识，有仁爱之心”的优秀导师和优秀团队。</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第三条</w:t>
      </w:r>
      <w:r>
        <w:rPr>
          <w:rFonts w:hint="eastAsia" w:ascii="仿宋_GB2312" w:hAnsi="仿宋" w:eastAsia="仿宋_GB2312" w:cs="仿宋_GB2312"/>
          <w:color w:val="000000"/>
          <w:sz w:val="28"/>
          <w:szCs w:val="28"/>
        </w:rPr>
        <w:t xml:space="preserve">  研究生院负责评选的组织与奖励工作，各学院负责本单位优秀导师和优秀团队的材料审核与推荐工作。</w:t>
      </w:r>
    </w:p>
    <w:p>
      <w:pPr>
        <w:pStyle w:val="23"/>
        <w:autoSpaceDN w:val="0"/>
        <w:spacing w:before="156" w:beforeLines="50" w:after="156" w:afterLines="50" w:line="520" w:lineRule="exact"/>
        <w:jc w:val="center"/>
        <w:rPr>
          <w:rFonts w:ascii="黑体" w:hAnsi="黑体" w:eastAsia="黑体" w:cs="仿宋_GB2312"/>
          <w:color w:val="000000"/>
          <w:sz w:val="28"/>
          <w:szCs w:val="28"/>
        </w:rPr>
      </w:pPr>
      <w:r>
        <w:rPr>
          <w:rFonts w:hint="eastAsia" w:ascii="黑体" w:hAnsi="黑体" w:eastAsia="黑体" w:cs="仿宋_GB2312"/>
          <w:color w:val="000000"/>
          <w:sz w:val="28"/>
          <w:szCs w:val="28"/>
        </w:rPr>
        <w:t xml:space="preserve">第二章 </w:t>
      </w:r>
      <w:r>
        <w:rPr>
          <w:rFonts w:ascii="黑体" w:hAnsi="黑体" w:eastAsia="黑体" w:cs="仿宋_GB2312"/>
          <w:color w:val="000000"/>
          <w:sz w:val="28"/>
          <w:szCs w:val="28"/>
        </w:rPr>
        <w:t xml:space="preserve"> </w:t>
      </w:r>
      <w:r>
        <w:rPr>
          <w:rFonts w:hint="eastAsia" w:ascii="黑体" w:hAnsi="黑体" w:eastAsia="黑体" w:cs="仿宋_GB2312"/>
          <w:color w:val="000000"/>
          <w:sz w:val="28"/>
          <w:szCs w:val="28"/>
        </w:rPr>
        <w:t>评选对象</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第四条</w:t>
      </w:r>
      <w:r>
        <w:rPr>
          <w:rFonts w:hint="eastAsia" w:ascii="仿宋_GB2312" w:hAnsi="仿宋" w:eastAsia="仿宋_GB2312" w:cs="仿宋_GB2312"/>
          <w:color w:val="000000"/>
          <w:sz w:val="28"/>
          <w:szCs w:val="28"/>
        </w:rPr>
        <w:t xml:space="preserve">  优秀导师评选范围为研究生培养的在岗指导教师。</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第五条</w:t>
      </w:r>
      <w:r>
        <w:rPr>
          <w:rFonts w:hint="eastAsia" w:ascii="仿宋_GB2312" w:hAnsi="仿宋" w:eastAsia="仿宋_GB2312" w:cs="仿宋_GB2312"/>
          <w:color w:val="000000"/>
          <w:sz w:val="28"/>
          <w:szCs w:val="28"/>
        </w:rPr>
        <w:t xml:space="preserve">  优秀团队评选范围为由教师组成的共同指导研究生的实质性团队。</w:t>
      </w:r>
    </w:p>
    <w:p>
      <w:pPr>
        <w:pStyle w:val="23"/>
        <w:autoSpaceDN w:val="0"/>
        <w:spacing w:before="156" w:beforeLines="50" w:after="156" w:afterLines="50" w:line="520" w:lineRule="exact"/>
        <w:jc w:val="center"/>
        <w:rPr>
          <w:rFonts w:ascii="黑体" w:hAnsi="黑体" w:eastAsia="黑体" w:cs="仿宋_GB2312"/>
          <w:color w:val="000000"/>
          <w:sz w:val="28"/>
          <w:szCs w:val="28"/>
        </w:rPr>
      </w:pPr>
      <w:r>
        <w:rPr>
          <w:rFonts w:hint="eastAsia" w:ascii="黑体" w:hAnsi="黑体" w:eastAsia="黑体" w:cs="仿宋_GB2312"/>
          <w:color w:val="000000"/>
          <w:sz w:val="28"/>
          <w:szCs w:val="28"/>
        </w:rPr>
        <w:t xml:space="preserve">第三章 </w:t>
      </w:r>
      <w:r>
        <w:rPr>
          <w:rFonts w:ascii="黑体" w:hAnsi="黑体" w:eastAsia="黑体" w:cs="仿宋_GB2312"/>
          <w:color w:val="000000"/>
          <w:sz w:val="28"/>
          <w:szCs w:val="28"/>
        </w:rPr>
        <w:t xml:space="preserve"> </w:t>
      </w:r>
      <w:r>
        <w:rPr>
          <w:rFonts w:hint="eastAsia" w:ascii="黑体" w:hAnsi="黑体" w:eastAsia="黑体" w:cs="仿宋_GB2312"/>
          <w:color w:val="000000"/>
          <w:sz w:val="28"/>
          <w:szCs w:val="28"/>
        </w:rPr>
        <w:t>评选条件</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第六条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优秀导师的评选条件</w:t>
      </w:r>
    </w:p>
    <w:p>
      <w:pPr>
        <w:pStyle w:val="23"/>
        <w:autoSpaceDN w:val="0"/>
        <w:spacing w:line="52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德：坚持</w:t>
      </w:r>
      <w:r>
        <w:rPr>
          <w:rFonts w:hint="eastAsia" w:ascii="仿宋_GB2312" w:eastAsia="仿宋_GB2312"/>
          <w:color w:val="000000"/>
          <w:sz w:val="28"/>
          <w:szCs w:val="28"/>
        </w:rPr>
        <w:t>立德树人、探寻规律、教人求真的根本任务，拥护党的教育方针，清正廉洁，善于做学生的思想政治工作，重诚信、善合作、肯投入。注重自身修养，治学严谨，恪守学术道德，为人师表。</w:t>
      </w:r>
      <w:r>
        <w:rPr>
          <w:rFonts w:hint="eastAsia" w:ascii="仿宋_GB2312" w:hAnsi="仿宋" w:eastAsia="仿宋_GB2312" w:cs="仿宋_GB2312"/>
          <w:color w:val="000000"/>
          <w:sz w:val="28"/>
          <w:szCs w:val="28"/>
        </w:rPr>
        <w:t>关心学生身心健康，帮助学生解决思想、学业等方面实际困难，得到学生尊敬爱戴，有指导学生的感人事迹。</w:t>
      </w:r>
    </w:p>
    <w:p>
      <w:pPr>
        <w:pStyle w:val="4"/>
        <w:spacing w:line="52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能：锐意进取，勇于创新，有较高的学术造诣和教学才能，积极为学校争取研究生培养资源。重于教书育人，优于课堂授课，善于教学改革。具有国际化视野，积极开展研究生国际合作与交流。积极参与研究生教育的研究与改革工作，在教改研究、教材建设、精品课程建设等方面有突出成果。</w:t>
      </w:r>
    </w:p>
    <w:p>
      <w:pPr>
        <w:pStyle w:val="23"/>
        <w:autoSpaceDN w:val="0"/>
        <w:spacing w:line="52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勤：全心投入研究生培养，有高度的事业心和责任感，将教书育人、实践育人贯穿于研究生培养全过程。善于与研究生沟通，勤于与研究生交流，定期组织开展研究生的学术研讨交流活动。</w:t>
      </w:r>
    </w:p>
    <w:p>
      <w:pPr>
        <w:pStyle w:val="23"/>
        <w:autoSpaceDN w:val="0"/>
        <w:spacing w:line="52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效：育人成效显著，在国内同行中获得公认的人才培养成就。所指导的研究生思想品质好、学术水平高、学位论文质量优秀，思维活跃、创新能力强、取得突出成果。主讲一门以上研究生课程，教学成效突出。已毕业研究生就业质量高，毕业生的社会贡献及认可度高。</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第七条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优秀团队的评选条件</w:t>
      </w:r>
    </w:p>
    <w:p>
      <w:pPr>
        <w:pStyle w:val="23"/>
        <w:autoSpaceDN w:val="0"/>
        <w:spacing w:line="520" w:lineRule="exact"/>
        <w:ind w:firstLine="64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 团队构成。具有稳定的合作关系及合理的组成结构（其中研究生指导教师不少于3人），团队负责人为人师表，学术水平高，团队成员共同承担课题、共享研究平台、共有科研成果、共同完成研究生指导工作，具有良好的协同创新精神。</w:t>
      </w:r>
    </w:p>
    <w:p>
      <w:pPr>
        <w:pStyle w:val="23"/>
        <w:autoSpaceDN w:val="0"/>
        <w:spacing w:line="520" w:lineRule="exact"/>
        <w:ind w:firstLine="64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 团队成果。在培养研究生方面取得一系列</w:t>
      </w:r>
      <w:r>
        <w:rPr>
          <w:rFonts w:hint="eastAsia" w:ascii="仿宋_GB2312" w:eastAsia="仿宋_GB2312"/>
          <w:color w:val="000000"/>
          <w:sz w:val="28"/>
          <w:szCs w:val="28"/>
        </w:rPr>
        <w:t>突出的科研及社会实践成果。</w:t>
      </w:r>
      <w:r>
        <w:rPr>
          <w:rFonts w:hint="eastAsia" w:ascii="仿宋_GB2312" w:hAnsi="仿宋" w:eastAsia="仿宋_GB2312" w:cs="仿宋_GB2312"/>
          <w:color w:val="000000"/>
          <w:sz w:val="28"/>
          <w:szCs w:val="28"/>
        </w:rPr>
        <w:t>团队研究生具有较高的学术水平与科研创新能力，参与省部级及以上重点科研课题、公开发表有重要影响的学术成果或荣获省部级以上科研成果奖励。</w:t>
      </w:r>
    </w:p>
    <w:p>
      <w:pPr>
        <w:pStyle w:val="23"/>
        <w:autoSpaceDN w:val="0"/>
        <w:spacing w:line="520" w:lineRule="exact"/>
        <w:ind w:firstLine="64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 团队管理。团队具有明确的学术方向和规范的管理办法。注重研究生的全方位管理，具有分层分类的管理模式。科学、合理的制定研究生培养计划。在校内外有影响力和示范性。</w:t>
      </w:r>
    </w:p>
    <w:p>
      <w:pPr>
        <w:pStyle w:val="23"/>
        <w:autoSpaceDN w:val="0"/>
        <w:spacing w:line="520" w:lineRule="exact"/>
        <w:ind w:firstLine="64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4. 团队文化。在长期稳定的团队合作中，形成鲜明的团队核心精神。具有良好的学术科研氛围，温馨的工作环境，团队凝聚力、向心力强。积极安排相应的学术活动激发团队科研热情与创新精神。</w:t>
      </w:r>
    </w:p>
    <w:p>
      <w:pPr>
        <w:pStyle w:val="23"/>
        <w:autoSpaceDN w:val="0"/>
        <w:spacing w:before="156" w:beforeLines="50" w:after="156" w:afterLines="50" w:line="520" w:lineRule="exact"/>
        <w:jc w:val="center"/>
        <w:rPr>
          <w:rFonts w:ascii="黑体" w:hAnsi="黑体" w:eastAsia="黑体" w:cs="仿宋_GB2312"/>
          <w:color w:val="000000"/>
          <w:sz w:val="28"/>
          <w:szCs w:val="28"/>
        </w:rPr>
      </w:pPr>
      <w:r>
        <w:rPr>
          <w:rFonts w:hint="eastAsia" w:ascii="黑体" w:hAnsi="黑体" w:eastAsia="黑体" w:cs="仿宋_GB2312"/>
          <w:color w:val="000000"/>
          <w:sz w:val="28"/>
          <w:szCs w:val="28"/>
        </w:rPr>
        <w:t xml:space="preserve">第四章 </w:t>
      </w:r>
      <w:r>
        <w:rPr>
          <w:rFonts w:ascii="黑体" w:hAnsi="黑体" w:eastAsia="黑体" w:cs="仿宋_GB2312"/>
          <w:color w:val="000000"/>
          <w:sz w:val="28"/>
          <w:szCs w:val="28"/>
        </w:rPr>
        <w:t xml:space="preserve"> </w:t>
      </w:r>
      <w:r>
        <w:rPr>
          <w:rFonts w:hint="eastAsia" w:ascii="黑体" w:hAnsi="黑体" w:eastAsia="黑体" w:cs="仿宋_GB2312"/>
          <w:color w:val="000000"/>
          <w:sz w:val="28"/>
          <w:szCs w:val="28"/>
        </w:rPr>
        <w:t>推选申报与评审</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第八条</w:t>
      </w:r>
      <w:r>
        <w:rPr>
          <w:rFonts w:hint="eastAsia" w:ascii="仿宋_GB2312" w:hAnsi="仿宋" w:eastAsia="仿宋_GB2312" w:cs="仿宋_GB2312"/>
          <w:color w:val="000000"/>
          <w:sz w:val="28"/>
          <w:szCs w:val="28"/>
        </w:rPr>
        <w:t xml:space="preserve">  推选方式</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优秀导师、优秀团队候选人有以下两种推荐方式。</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（一）研究生联名推荐（联名人员不少于5名）；</w:t>
      </w:r>
    </w:p>
    <w:p>
      <w:pPr>
        <w:pStyle w:val="23"/>
        <w:autoSpaceDN w:val="0"/>
        <w:spacing w:line="520" w:lineRule="exact"/>
        <w:ind w:firstLine="612"/>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（二）单位推荐。</w:t>
      </w:r>
    </w:p>
    <w:p>
      <w:pPr>
        <w:pStyle w:val="23"/>
        <w:autoSpaceDN w:val="0"/>
        <w:spacing w:line="520" w:lineRule="exact"/>
        <w:ind w:firstLine="557" w:firstLineChars="198"/>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 xml:space="preserve">第九条 </w:t>
      </w:r>
      <w:r>
        <w:rPr>
          <w:rFonts w:hint="eastAsia" w:ascii="仿宋_GB2312" w:hAnsi="仿宋" w:eastAsia="仿宋_GB2312" w:cs="仿宋_GB2312"/>
          <w:color w:val="000000"/>
          <w:sz w:val="28"/>
          <w:szCs w:val="28"/>
        </w:rPr>
        <w:t xml:space="preserve"> 评审程序</w:t>
      </w:r>
    </w:p>
    <w:p>
      <w:pPr>
        <w:pStyle w:val="23"/>
        <w:autoSpaceDN w:val="0"/>
        <w:spacing w:line="520" w:lineRule="exact"/>
        <w:ind w:firstLine="554" w:firstLineChars="198"/>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（一）推荐材料。由研究生联名推荐小组或推荐单位提出书面推荐，推荐时需提交《优秀导师推荐表》或《优秀团队推荐表》并附相关佐证材料。</w:t>
      </w:r>
    </w:p>
    <w:p>
      <w:pPr>
        <w:pStyle w:val="23"/>
        <w:autoSpaceDN w:val="0"/>
        <w:spacing w:line="520" w:lineRule="exact"/>
        <w:ind w:firstLine="554" w:firstLineChars="198"/>
        <w:rPr>
          <w:rFonts w:ascii="仿宋_GB2312" w:hAnsi="黑体" w:eastAsia="仿宋_GB2312" w:cs="仿宋_GB2312"/>
          <w:color w:val="000000"/>
          <w:sz w:val="28"/>
          <w:szCs w:val="28"/>
        </w:rPr>
      </w:pPr>
      <w:r>
        <w:rPr>
          <w:rFonts w:hint="eastAsia" w:ascii="仿宋_GB2312" w:hAnsi="黑体" w:eastAsia="仿宋_GB2312" w:cs="仿宋_GB2312"/>
          <w:color w:val="000000"/>
          <w:sz w:val="28"/>
          <w:szCs w:val="28"/>
        </w:rPr>
        <w:t>（二）学院审核。学院负责对申报材料的真实性进行审核，并在院内公示3个工作日，公示无异议，提交学院党政联席会议讨论，讨论通过后，填写推荐意见上报学校。</w:t>
      </w:r>
    </w:p>
    <w:p>
      <w:pPr>
        <w:pStyle w:val="23"/>
        <w:autoSpaceDN w:val="0"/>
        <w:spacing w:line="520" w:lineRule="exact"/>
        <w:ind w:firstLine="554" w:firstLineChars="198"/>
        <w:rPr>
          <w:rFonts w:ascii="仿宋_GB2312" w:hAnsi="黑体" w:eastAsia="仿宋_GB2312" w:cs="仿宋_GB2312"/>
          <w:color w:val="000000"/>
          <w:sz w:val="28"/>
          <w:szCs w:val="28"/>
        </w:rPr>
      </w:pPr>
      <w:r>
        <w:rPr>
          <w:rFonts w:hint="eastAsia" w:ascii="仿宋_GB2312" w:hAnsi="黑体" w:eastAsia="仿宋_GB2312" w:cs="仿宋_GB2312"/>
          <w:color w:val="000000"/>
          <w:sz w:val="28"/>
          <w:szCs w:val="28"/>
        </w:rPr>
        <w:t>（三）学校审查。学校组织工作小组对学院推荐人选的材料进行审查。</w:t>
      </w:r>
    </w:p>
    <w:p>
      <w:pPr>
        <w:pStyle w:val="23"/>
        <w:autoSpaceDN w:val="0"/>
        <w:spacing w:line="520" w:lineRule="exact"/>
        <w:ind w:firstLine="554" w:firstLineChars="198"/>
        <w:rPr>
          <w:rFonts w:ascii="仿宋_GB2312" w:hAnsi="黑体" w:eastAsia="仿宋_GB2312" w:cs="仿宋_GB2312"/>
          <w:color w:val="000000"/>
          <w:sz w:val="28"/>
          <w:szCs w:val="28"/>
        </w:rPr>
      </w:pPr>
      <w:r>
        <w:rPr>
          <w:rFonts w:hint="eastAsia" w:ascii="仿宋_GB2312" w:hAnsi="黑体" w:eastAsia="仿宋_GB2312" w:cs="仿宋_GB2312"/>
          <w:color w:val="000000"/>
          <w:sz w:val="28"/>
          <w:szCs w:val="28"/>
        </w:rPr>
        <w:t>（四）公开展示。经学校审查通过后的申报人材料在网站进行公开展示。展示过程中若收到质疑，退回学院复查。</w:t>
      </w:r>
    </w:p>
    <w:p>
      <w:pPr>
        <w:pStyle w:val="23"/>
        <w:autoSpaceDN w:val="0"/>
        <w:spacing w:line="520" w:lineRule="exact"/>
        <w:ind w:firstLine="554" w:firstLineChars="198"/>
        <w:rPr>
          <w:rFonts w:ascii="仿宋_GB2312" w:hAnsi="黑体" w:eastAsia="仿宋_GB2312" w:cs="仿宋_GB2312"/>
          <w:color w:val="000000"/>
          <w:sz w:val="28"/>
          <w:szCs w:val="28"/>
        </w:rPr>
      </w:pPr>
      <w:r>
        <w:rPr>
          <w:rFonts w:hint="eastAsia" w:ascii="仿宋_GB2312" w:hAnsi="黑体" w:eastAsia="仿宋_GB2312" w:cs="仿宋_GB2312"/>
          <w:color w:val="000000"/>
          <w:sz w:val="28"/>
          <w:szCs w:val="28"/>
        </w:rPr>
        <w:t>（五）专家评审。学校组织专家组对通过公开展示环节的候选人和团队进行评审。</w:t>
      </w:r>
    </w:p>
    <w:p>
      <w:pPr>
        <w:pStyle w:val="23"/>
        <w:autoSpaceDN w:val="0"/>
        <w:spacing w:line="520" w:lineRule="exact"/>
        <w:ind w:firstLine="554" w:firstLineChars="198"/>
        <w:rPr>
          <w:rFonts w:ascii="仿宋_GB2312" w:hAnsi="黑体" w:eastAsia="仿宋_GB2312" w:cs="仿宋_GB2312"/>
          <w:color w:val="000000"/>
          <w:sz w:val="28"/>
          <w:szCs w:val="28"/>
        </w:rPr>
      </w:pPr>
      <w:r>
        <w:rPr>
          <w:rFonts w:hint="eastAsia" w:ascii="仿宋_GB2312" w:hAnsi="黑体" w:eastAsia="仿宋_GB2312" w:cs="仿宋_GB2312"/>
          <w:color w:val="000000"/>
          <w:sz w:val="28"/>
          <w:szCs w:val="28"/>
        </w:rPr>
        <w:t>（六）学校审定。经专家组评审确定的候选名单在全校公示3个工作日，公示无异议后，报学校党委常委会批准。</w:t>
      </w:r>
    </w:p>
    <w:p>
      <w:pPr>
        <w:pStyle w:val="23"/>
        <w:autoSpaceDN w:val="0"/>
        <w:spacing w:before="156" w:beforeLines="50" w:after="156" w:afterLines="50" w:line="520" w:lineRule="exact"/>
        <w:jc w:val="center"/>
        <w:rPr>
          <w:rFonts w:ascii="黑体" w:hAnsi="黑体" w:eastAsia="黑体" w:cs="仿宋_GB2312"/>
          <w:color w:val="000000"/>
          <w:sz w:val="28"/>
          <w:szCs w:val="28"/>
        </w:rPr>
      </w:pPr>
      <w:r>
        <w:rPr>
          <w:rFonts w:hint="eastAsia" w:ascii="黑体" w:hAnsi="黑体" w:eastAsia="黑体" w:cs="仿宋_GB2312"/>
          <w:color w:val="000000"/>
          <w:sz w:val="28"/>
          <w:szCs w:val="28"/>
        </w:rPr>
        <w:t>第五章  表彰奖励</w:t>
      </w:r>
    </w:p>
    <w:p>
      <w:pPr>
        <w:pStyle w:val="23"/>
        <w:autoSpaceDN w:val="0"/>
        <w:spacing w:line="520" w:lineRule="exact"/>
        <w:ind w:firstLine="646"/>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第十条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学校为优秀导师获得者授予“西安交通大学研究生教育优秀导师”荣誉称号，颁发荣誉证书。为优秀团队获得者授予“西安交通大学研究生教育优秀导师团队”荣誉称号，颁发荣誉证书。优秀导师、优秀团队奖励纳入学院人才培养奖励绩效津贴中统筹考虑。在获评的四年内，为优秀导师和优秀团队增加研究生招生指标。</w:t>
      </w:r>
    </w:p>
    <w:p>
      <w:pPr>
        <w:pStyle w:val="23"/>
        <w:autoSpaceDN w:val="0"/>
        <w:spacing w:line="520" w:lineRule="exact"/>
        <w:ind w:firstLine="646"/>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第十一条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学校为获评导师和导师团队组织全校教师经验交流会、宣讲会，推广其先进的育人模式、指导方式、实践育人方法，营造良好的导学氛围。</w:t>
      </w:r>
    </w:p>
    <w:p>
      <w:pPr>
        <w:pStyle w:val="23"/>
        <w:autoSpaceDN w:val="0"/>
        <w:spacing w:line="520" w:lineRule="exact"/>
        <w:ind w:firstLine="646"/>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第十二条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学校对获评的导师和导师团队在校内外进行深度报道、广泛宣传，树立导师及导师团队典范，弘扬尊师重教的良好校风。</w:t>
      </w:r>
    </w:p>
    <w:p>
      <w:pPr>
        <w:pStyle w:val="23"/>
        <w:autoSpaceDN w:val="0"/>
        <w:spacing w:before="156" w:beforeLines="50" w:after="156" w:afterLines="50" w:line="520" w:lineRule="exact"/>
        <w:jc w:val="center"/>
        <w:rPr>
          <w:rFonts w:ascii="黑体" w:hAnsi="黑体" w:eastAsia="黑体" w:cs="仿宋_GB2312"/>
          <w:color w:val="000000"/>
          <w:sz w:val="28"/>
          <w:szCs w:val="28"/>
        </w:rPr>
      </w:pPr>
      <w:r>
        <w:rPr>
          <w:rFonts w:hint="eastAsia" w:ascii="黑体" w:hAnsi="黑体" w:eastAsia="黑体" w:cs="仿宋_GB2312"/>
          <w:color w:val="000000"/>
          <w:sz w:val="28"/>
          <w:szCs w:val="28"/>
        </w:rPr>
        <w:t>第六章  附  则</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第十三条</w:t>
      </w:r>
      <w:r>
        <w:rPr>
          <w:rFonts w:hint="eastAsia" w:ascii="仿宋_GB2312" w:hAnsi="仿宋" w:eastAsia="仿宋_GB2312" w:cs="仿宋_GB2312"/>
          <w:color w:val="000000"/>
          <w:sz w:val="28"/>
          <w:szCs w:val="28"/>
        </w:rPr>
        <w:t xml:space="preserve">  研究生优秀导师、优秀团队评选工作每两年进行一次。评选工作时间为评选当年的三月至六月，具体推荐材料、工作流程、时间节点等以当年发布的评选通知为准。</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第十四条</w:t>
      </w:r>
      <w:r>
        <w:rPr>
          <w:rFonts w:hint="eastAsia" w:ascii="仿宋_GB2312" w:hAnsi="仿宋" w:eastAsia="仿宋_GB2312" w:cs="仿宋_GB2312"/>
          <w:color w:val="000000"/>
          <w:sz w:val="28"/>
          <w:szCs w:val="28"/>
        </w:rPr>
        <w:t xml:space="preserve">  获评后，如发现申报材料存在弄虚作假情况或获奖者发生与本奖励要求相违背的行为时，学校将撤销其荣誉、追回奖励，并根据情况追究责任。</w:t>
      </w:r>
    </w:p>
    <w:p>
      <w:pPr>
        <w:pStyle w:val="23"/>
        <w:autoSpaceDN w:val="0"/>
        <w:spacing w:line="520" w:lineRule="exact"/>
        <w:ind w:firstLine="562" w:firstLineChars="200"/>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 xml:space="preserve">第十五条 </w:t>
      </w:r>
      <w:r>
        <w:rPr>
          <w:rFonts w:hint="eastAsia" w:ascii="仿宋_GB2312" w:hAnsi="仿宋" w:eastAsia="仿宋_GB2312" w:cs="仿宋_GB2312"/>
          <w:color w:val="000000"/>
          <w:sz w:val="28"/>
          <w:szCs w:val="28"/>
        </w:rPr>
        <w:t xml:space="preserve"> 本办法由研究生院负责解释。</w:t>
      </w:r>
    </w:p>
    <w:p>
      <w:pPr>
        <w:spacing w:line="520" w:lineRule="exact"/>
        <w:ind w:firstLine="551" w:firstLineChars="196"/>
        <w:rPr>
          <w:rFonts w:ascii="仿宋_GB2312" w:hAnsi="仿宋" w:eastAsia="仿宋_GB2312" w:cs="仿宋_GB2312"/>
          <w:color w:val="000000"/>
          <w:sz w:val="28"/>
          <w:szCs w:val="28"/>
        </w:rPr>
      </w:pPr>
      <w:r>
        <w:rPr>
          <w:rFonts w:hint="eastAsia" w:ascii="仿宋_GB2312" w:hAnsi="仿宋" w:eastAsia="仿宋_GB2312" w:cs="仿宋_GB2312"/>
          <w:b/>
          <w:color w:val="000000"/>
          <w:sz w:val="28"/>
          <w:szCs w:val="28"/>
        </w:rPr>
        <w:t>第十六条</w:t>
      </w:r>
      <w:r>
        <w:rPr>
          <w:rFonts w:hint="eastAsia" w:ascii="仿宋_GB2312" w:hAnsi="仿宋" w:eastAsia="仿宋_GB2312" w:cs="仿宋_GB2312"/>
          <w:color w:val="000000"/>
          <w:sz w:val="28"/>
          <w:szCs w:val="28"/>
        </w:rPr>
        <w:t xml:space="preserve">  本办法经2016年12月27日校党委常委会审议通过，自印发之日起实施。</w:t>
      </w:r>
    </w:p>
    <w:p>
      <w:pPr>
        <w:spacing w:before="156" w:line="400" w:lineRule="exact"/>
        <w:rPr>
          <w:rFonts w:ascii="方正仿宋简体" w:hAnsi="仿宋" w:eastAsia="方正仿宋简体" w:cs="仿宋_GB2312"/>
          <w:color w:val="000000"/>
          <w:sz w:val="28"/>
          <w:szCs w:val="28"/>
        </w:rPr>
      </w:pPr>
    </w:p>
    <w:p>
      <w:pPr>
        <w:jc w:val="center"/>
        <w:rPr>
          <w:rFonts w:ascii="仿宋_GB2312" w:hAnsi="仿宋_GB2312" w:eastAsia="仿宋_GB2312"/>
          <w:color w:val="2F2F2F"/>
          <w:sz w:val="28"/>
          <w:szCs w:val="28"/>
        </w:rPr>
      </w:pPr>
    </w:p>
    <w:p>
      <w:pPr>
        <w:spacing w:line="560" w:lineRule="exact"/>
        <w:rPr>
          <w:rFonts w:ascii="仿宋" w:hAnsi="仿宋" w:eastAsia="仿宋" w:cs="仿宋"/>
          <w:sz w:val="22"/>
          <w:szCs w:val="22"/>
        </w:rPr>
      </w:pPr>
      <w:bookmarkStart w:id="0" w:name="_GoBack"/>
      <w:bookmarkEnd w:id="0"/>
    </w:p>
    <w:sectPr>
      <w:footerReference r:id="rId3" w:type="default"/>
      <w:pgSz w:w="11907" w:h="16840"/>
      <w:pgMar w:top="1020" w:right="1417" w:bottom="1020" w:left="1417" w:header="720"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AF7"/>
    <w:rsid w:val="00007C6C"/>
    <w:rsid w:val="00043C49"/>
    <w:rsid w:val="0006004F"/>
    <w:rsid w:val="00075FCE"/>
    <w:rsid w:val="000839F5"/>
    <w:rsid w:val="00086B29"/>
    <w:rsid w:val="000A18E2"/>
    <w:rsid w:val="00172A27"/>
    <w:rsid w:val="001E4385"/>
    <w:rsid w:val="00255106"/>
    <w:rsid w:val="00256AEB"/>
    <w:rsid w:val="00311DFE"/>
    <w:rsid w:val="00315210"/>
    <w:rsid w:val="003301C6"/>
    <w:rsid w:val="00331C40"/>
    <w:rsid w:val="003420CF"/>
    <w:rsid w:val="00430661"/>
    <w:rsid w:val="0043777E"/>
    <w:rsid w:val="004474F5"/>
    <w:rsid w:val="00492679"/>
    <w:rsid w:val="004E5CB1"/>
    <w:rsid w:val="00511B24"/>
    <w:rsid w:val="0057723F"/>
    <w:rsid w:val="005C22BE"/>
    <w:rsid w:val="0062676A"/>
    <w:rsid w:val="00636F36"/>
    <w:rsid w:val="00643726"/>
    <w:rsid w:val="0064487D"/>
    <w:rsid w:val="0068382E"/>
    <w:rsid w:val="006A5F07"/>
    <w:rsid w:val="006B6F08"/>
    <w:rsid w:val="006D4980"/>
    <w:rsid w:val="006E2C37"/>
    <w:rsid w:val="006F1BFD"/>
    <w:rsid w:val="00746C46"/>
    <w:rsid w:val="007C0225"/>
    <w:rsid w:val="00830B8A"/>
    <w:rsid w:val="008322DB"/>
    <w:rsid w:val="0085295D"/>
    <w:rsid w:val="00855783"/>
    <w:rsid w:val="00857860"/>
    <w:rsid w:val="008767B9"/>
    <w:rsid w:val="00877DA9"/>
    <w:rsid w:val="00881131"/>
    <w:rsid w:val="008F5271"/>
    <w:rsid w:val="00923831"/>
    <w:rsid w:val="0092557C"/>
    <w:rsid w:val="009E4BDF"/>
    <w:rsid w:val="00A07E7D"/>
    <w:rsid w:val="00A21245"/>
    <w:rsid w:val="00A35C37"/>
    <w:rsid w:val="00A81C2F"/>
    <w:rsid w:val="00A90847"/>
    <w:rsid w:val="00A9560F"/>
    <w:rsid w:val="00AA2B0B"/>
    <w:rsid w:val="00B002AE"/>
    <w:rsid w:val="00B03B35"/>
    <w:rsid w:val="00B51C65"/>
    <w:rsid w:val="00BA4E87"/>
    <w:rsid w:val="00BE6757"/>
    <w:rsid w:val="00C207F9"/>
    <w:rsid w:val="00C40481"/>
    <w:rsid w:val="00CB1B89"/>
    <w:rsid w:val="00DD2082"/>
    <w:rsid w:val="00E521C6"/>
    <w:rsid w:val="00E60133"/>
    <w:rsid w:val="00EA2BE2"/>
    <w:rsid w:val="00EA69E5"/>
    <w:rsid w:val="00ED2420"/>
    <w:rsid w:val="00ED6AB1"/>
    <w:rsid w:val="00EF0FC4"/>
    <w:rsid w:val="00F00A9B"/>
    <w:rsid w:val="00F01F95"/>
    <w:rsid w:val="00F207F2"/>
    <w:rsid w:val="00F318F1"/>
    <w:rsid w:val="00F46556"/>
    <w:rsid w:val="00F609F7"/>
    <w:rsid w:val="00F85483"/>
    <w:rsid w:val="00F944AB"/>
    <w:rsid w:val="00FB7E0A"/>
    <w:rsid w:val="00FC62CB"/>
    <w:rsid w:val="00FD41BA"/>
    <w:rsid w:val="00FF05DD"/>
    <w:rsid w:val="021634AB"/>
    <w:rsid w:val="034B32C7"/>
    <w:rsid w:val="096433E8"/>
    <w:rsid w:val="09644AC0"/>
    <w:rsid w:val="0C397F5E"/>
    <w:rsid w:val="0CBE4348"/>
    <w:rsid w:val="0EF80B9A"/>
    <w:rsid w:val="139B24C3"/>
    <w:rsid w:val="13F63DAC"/>
    <w:rsid w:val="15023225"/>
    <w:rsid w:val="15A61B6A"/>
    <w:rsid w:val="16AC7AD9"/>
    <w:rsid w:val="178814BC"/>
    <w:rsid w:val="18154BD9"/>
    <w:rsid w:val="18EB3D1F"/>
    <w:rsid w:val="1B41604E"/>
    <w:rsid w:val="1DAA0E3F"/>
    <w:rsid w:val="20E945D8"/>
    <w:rsid w:val="21C34E40"/>
    <w:rsid w:val="22067DF4"/>
    <w:rsid w:val="23074874"/>
    <w:rsid w:val="23541C72"/>
    <w:rsid w:val="27B5197A"/>
    <w:rsid w:val="29697C84"/>
    <w:rsid w:val="2B2D2EA7"/>
    <w:rsid w:val="2B96467F"/>
    <w:rsid w:val="2BAF5402"/>
    <w:rsid w:val="2BBE62BA"/>
    <w:rsid w:val="2BDC28CB"/>
    <w:rsid w:val="2D316957"/>
    <w:rsid w:val="2EC03605"/>
    <w:rsid w:val="310F5C75"/>
    <w:rsid w:val="31CE0BA7"/>
    <w:rsid w:val="329C6091"/>
    <w:rsid w:val="35064B8A"/>
    <w:rsid w:val="36F938A8"/>
    <w:rsid w:val="3B0C0239"/>
    <w:rsid w:val="3BD67D2B"/>
    <w:rsid w:val="3D403728"/>
    <w:rsid w:val="3E193930"/>
    <w:rsid w:val="3FCE4C3F"/>
    <w:rsid w:val="3FE706E6"/>
    <w:rsid w:val="41A31BD9"/>
    <w:rsid w:val="44084984"/>
    <w:rsid w:val="44C81042"/>
    <w:rsid w:val="47E34312"/>
    <w:rsid w:val="4A5044D3"/>
    <w:rsid w:val="4A5A6ED2"/>
    <w:rsid w:val="4B354600"/>
    <w:rsid w:val="4D2F0E9D"/>
    <w:rsid w:val="4D414EB1"/>
    <w:rsid w:val="4D7E1E1B"/>
    <w:rsid w:val="51286389"/>
    <w:rsid w:val="523D547F"/>
    <w:rsid w:val="58622C57"/>
    <w:rsid w:val="597F7EA3"/>
    <w:rsid w:val="5D250A75"/>
    <w:rsid w:val="5FB26A42"/>
    <w:rsid w:val="602030A7"/>
    <w:rsid w:val="622772FA"/>
    <w:rsid w:val="638703CE"/>
    <w:rsid w:val="657B3391"/>
    <w:rsid w:val="67E961BB"/>
    <w:rsid w:val="69FC1D18"/>
    <w:rsid w:val="6DB91278"/>
    <w:rsid w:val="6DBB5032"/>
    <w:rsid w:val="713C6E44"/>
    <w:rsid w:val="714A7C7F"/>
    <w:rsid w:val="71EB4DDD"/>
    <w:rsid w:val="7237661D"/>
    <w:rsid w:val="76A8686E"/>
    <w:rsid w:val="788312DC"/>
    <w:rsid w:val="79536F1C"/>
    <w:rsid w:val="7A332E05"/>
    <w:rsid w:val="7B084D6D"/>
    <w:rsid w:val="7B9F481F"/>
    <w:rsid w:val="7D271721"/>
    <w:rsid w:val="7D2F3738"/>
    <w:rsid w:val="7E4C44E4"/>
    <w:rsid w:val="7FA1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8"/>
    <w:unhideWhenUsed/>
    <w:qFormat/>
    <w:uiPriority w:val="99"/>
    <w:pPr>
      <w:jc w:val="left"/>
    </w:pPr>
    <w:rPr>
      <w:rFonts w:ascii="Calibri" w:hAnsi="Calibri"/>
      <w:szCs w:val="22"/>
    </w:rPr>
  </w:style>
  <w:style w:type="paragraph" w:styleId="5">
    <w:name w:val="Balloon Text"/>
    <w:basedOn w:val="1"/>
    <w:link w:val="27"/>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4"/>
    <w:next w:val="4"/>
    <w:link w:val="29"/>
    <w:semiHidden/>
    <w:unhideWhenUsed/>
    <w:qFormat/>
    <w:uiPriority w:val="99"/>
    <w:rPr>
      <w:rFonts w:ascii="Times New Roman" w:hAnsi="Times New Roman"/>
      <w:b/>
      <w:bCs/>
      <w:szCs w:val="20"/>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22"/>
    <w:rPr>
      <w:b/>
    </w:rPr>
  </w:style>
  <w:style w:type="character" w:styleId="14">
    <w:name w:val="page number"/>
    <w:basedOn w:val="12"/>
    <w:qFormat/>
    <w:uiPriority w:val="0"/>
  </w:style>
  <w:style w:type="character" w:styleId="15">
    <w:name w:val="FollowedHyperlink"/>
    <w:unhideWhenUsed/>
    <w:qFormat/>
    <w:uiPriority w:val="99"/>
    <w:rPr>
      <w:color w:val="333333"/>
      <w:u w:val="none"/>
    </w:rPr>
  </w:style>
  <w:style w:type="character" w:styleId="16">
    <w:name w:val="Emphasis"/>
    <w:basedOn w:val="12"/>
    <w:qFormat/>
    <w:uiPriority w:val="20"/>
  </w:style>
  <w:style w:type="character" w:styleId="17">
    <w:name w:val="HTML Definition"/>
    <w:basedOn w:val="12"/>
    <w:unhideWhenUsed/>
    <w:qFormat/>
    <w:uiPriority w:val="99"/>
  </w:style>
  <w:style w:type="character" w:styleId="18">
    <w:name w:val="HTML Variable"/>
    <w:basedOn w:val="12"/>
    <w:unhideWhenUsed/>
    <w:qFormat/>
    <w:uiPriority w:val="99"/>
  </w:style>
  <w:style w:type="character" w:styleId="19">
    <w:name w:val="Hyperlink"/>
    <w:unhideWhenUsed/>
    <w:qFormat/>
    <w:uiPriority w:val="99"/>
    <w:rPr>
      <w:color w:val="333333"/>
      <w:u w:val="none"/>
    </w:rPr>
  </w:style>
  <w:style w:type="character" w:styleId="20">
    <w:name w:val="HTML Code"/>
    <w:unhideWhenUsed/>
    <w:qFormat/>
    <w:uiPriority w:val="99"/>
    <w:rPr>
      <w:rFonts w:ascii="Courier New" w:hAnsi="Courier New"/>
      <w:sz w:val="20"/>
    </w:rPr>
  </w:style>
  <w:style w:type="character" w:styleId="21">
    <w:name w:val="annotation reference"/>
    <w:basedOn w:val="12"/>
    <w:semiHidden/>
    <w:unhideWhenUsed/>
    <w:qFormat/>
    <w:uiPriority w:val="99"/>
    <w:rPr>
      <w:sz w:val="21"/>
      <w:szCs w:val="21"/>
    </w:rPr>
  </w:style>
  <w:style w:type="character" w:styleId="22">
    <w:name w:val="HTML Cite"/>
    <w:basedOn w:val="12"/>
    <w:unhideWhenUsed/>
    <w:qFormat/>
    <w:uiPriority w:val="99"/>
  </w:style>
  <w:style w:type="paragraph" w:customStyle="1" w:styleId="23">
    <w:name w:val="p0"/>
    <w:qFormat/>
    <w:uiPriority w:val="0"/>
    <w:rPr>
      <w:rFonts w:ascii="Times New Roman" w:hAnsi="Times New Roman" w:eastAsia="宋体" w:cs="Times New Roman"/>
      <w:szCs w:val="21"/>
      <w:lang w:val="en-US" w:eastAsia="zh-CN" w:bidi="ar-SA"/>
    </w:rPr>
  </w:style>
  <w:style w:type="paragraph" w:customStyle="1" w:styleId="24">
    <w:name w:val="Char"/>
    <w:basedOn w:val="1"/>
    <w:qFormat/>
    <w:uiPriority w:val="0"/>
  </w:style>
  <w:style w:type="paragraph" w:customStyle="1" w:styleId="25">
    <w:name w:val="_Style 17"/>
    <w:basedOn w:val="1"/>
    <w:next w:val="1"/>
    <w:qFormat/>
    <w:uiPriority w:val="0"/>
    <w:pPr>
      <w:pBdr>
        <w:bottom w:val="single" w:color="auto" w:sz="6" w:space="1"/>
      </w:pBdr>
      <w:jc w:val="center"/>
    </w:pPr>
    <w:rPr>
      <w:rFonts w:ascii="Arial"/>
      <w:vanish/>
      <w:sz w:val="16"/>
    </w:rPr>
  </w:style>
  <w:style w:type="paragraph" w:customStyle="1" w:styleId="26">
    <w:name w:val="_Style 18"/>
    <w:basedOn w:val="1"/>
    <w:next w:val="1"/>
    <w:qFormat/>
    <w:uiPriority w:val="0"/>
    <w:pPr>
      <w:pBdr>
        <w:top w:val="single" w:color="auto" w:sz="6" w:space="1"/>
      </w:pBdr>
      <w:jc w:val="center"/>
    </w:pPr>
    <w:rPr>
      <w:rFonts w:ascii="Arial"/>
      <w:vanish/>
      <w:sz w:val="16"/>
    </w:rPr>
  </w:style>
  <w:style w:type="character" w:customStyle="1" w:styleId="27">
    <w:name w:val="批注框文本 字符"/>
    <w:link w:val="5"/>
    <w:semiHidden/>
    <w:qFormat/>
    <w:uiPriority w:val="99"/>
    <w:rPr>
      <w:kern w:val="2"/>
      <w:sz w:val="18"/>
      <w:szCs w:val="18"/>
    </w:rPr>
  </w:style>
  <w:style w:type="character" w:customStyle="1" w:styleId="28">
    <w:name w:val="批注文字 字符"/>
    <w:basedOn w:val="12"/>
    <w:link w:val="4"/>
    <w:qFormat/>
    <w:uiPriority w:val="99"/>
    <w:rPr>
      <w:rFonts w:ascii="Calibri" w:hAnsi="Calibri"/>
      <w:kern w:val="2"/>
      <w:sz w:val="21"/>
      <w:szCs w:val="22"/>
    </w:rPr>
  </w:style>
  <w:style w:type="character" w:customStyle="1" w:styleId="29">
    <w:name w:val="批注主题 字符"/>
    <w:basedOn w:val="28"/>
    <w:link w:val="9"/>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14</Pages>
  <Words>945</Words>
  <Characters>5389</Characters>
  <Lines>44</Lines>
  <Paragraphs>12</Paragraphs>
  <TotalTime>311</TotalTime>
  <ScaleCrop>false</ScaleCrop>
  <LinksUpToDate>false</LinksUpToDate>
  <CharactersWithSpaces>6322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2019-03-26T07:05:00Z</dcterms:created>
  <dc:creator>Administrator</dc:creator>
  <cp:lastModifiedBy>徐渭</cp:lastModifiedBy>
  <cp:lastPrinted>2019-03-29T03:29:00Z</cp:lastPrinted>
  <dcterms:modified xsi:type="dcterms:W3CDTF">2019-04-01T01:27:24Z</dcterms:modified>
  <dc:title>关于评选研究生教育优秀导师的通知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