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A4" w:rsidRDefault="000A5FA4" w:rsidP="000A5FA4">
      <w:pPr>
        <w:pStyle w:val="a3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44"/>
          <w:szCs w:val="44"/>
        </w:rPr>
        <w:t>不明原因儿童严重急性肝炎诊疗指南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center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44"/>
          <w:szCs w:val="44"/>
        </w:rPr>
        <w:t>（试行）</w:t>
      </w:r>
      <w:bookmarkStart w:id="0" w:name="_GoBack"/>
      <w:bookmarkEnd w:id="0"/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 xml:space="preserve">2022年3月31日，英国苏格兰地区首次报道不明原因儿童严重急性肝炎（acute severe hepatitis of unknown </w:t>
      </w:r>
      <w:proofErr w:type="spellStart"/>
      <w:r>
        <w:rPr>
          <w:rFonts w:ascii="仿宋" w:eastAsia="仿宋" w:hAnsi="仿宋" w:hint="eastAsia"/>
          <w:color w:val="484848"/>
          <w:sz w:val="32"/>
          <w:szCs w:val="32"/>
        </w:rPr>
        <w:t>aetiology</w:t>
      </w:r>
      <w:proofErr w:type="spellEnd"/>
      <w:r>
        <w:rPr>
          <w:rFonts w:ascii="仿宋" w:eastAsia="仿宋" w:hAnsi="仿宋" w:hint="eastAsia"/>
          <w:color w:val="484848"/>
          <w:sz w:val="32"/>
          <w:szCs w:val="32"/>
        </w:rPr>
        <w:t xml:space="preserve"> in children，</w:t>
      </w:r>
      <w:proofErr w:type="spellStart"/>
      <w:r>
        <w:rPr>
          <w:rFonts w:ascii="仿宋" w:eastAsia="仿宋" w:hAnsi="仿宋" w:hint="eastAsia"/>
          <w:color w:val="484848"/>
          <w:sz w:val="32"/>
          <w:szCs w:val="32"/>
        </w:rPr>
        <w:t>ASHep</w:t>
      </w:r>
      <w:proofErr w:type="spellEnd"/>
      <w:r>
        <w:rPr>
          <w:rFonts w:ascii="仿宋" w:eastAsia="仿宋" w:hAnsi="仿宋" w:hint="eastAsia"/>
          <w:color w:val="484848"/>
          <w:sz w:val="32"/>
          <w:szCs w:val="32"/>
        </w:rPr>
        <w:t>-UA），此后全球多个国家或地区出现此类病例，且重症病例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占比较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高，引起广泛关注。2022年4月12日以来，欧洲疾病预防控制中心和世界卫生组织（WHO）官方网站多次公布此病相关信息。2022年4月23日，WHO发布了诊断建议，但因病因不明，对治疗方案尚无推荐意见。我国尚无相关病例报告。为切实强化该病的早期识别和规范诊疗，全力提升救治效果，我委根据相关报道和文献，结合肝炎诊疗实践，形成《不明原因儿童严重急性肝炎诊疗指南（试行）》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一、流行概况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2022年3月31日，英国苏格兰地区报道5名儿童在3周内发生不明原因严重肝炎，患儿年龄为3～5岁。2022年4月5日，英国向WHO报告10岁以下健康儿童中不明原因急性肝炎病例有所增加，患儿多有呕吐、黄疸，伴转氨酶升高等表现。截至2022年5月20日，欧洲监测系统数据显示，该病可见于各年龄段儿童，5岁以下多见；住院患儿中14.1%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需住重症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监护病房。2022年5月27日，WHO公布，33个国家报告650例疑似病例，至少38例需肝移植，死亡9例。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现有证据未发现各病例之间存在明显的流行病学关联，尚不支持其为传染性疾病。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二、病因和发病机制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不明原因儿童严重急性肝炎的病因和发病机制尚在研究中。目前WHO认为，尽管将腺病毒感染作为病因的假说有一定合理性，但腺病毒通常引起低龄儿童轻度、自限性的消化道或呼吸道感染，不能完全解释该病一些较严重的临床表现，故该病与腺病毒的关联需进一步明确。大部分患儿未接种过新冠病毒疫苗，不支持该病与新冠病毒疫苗副作用有关的假说。其他致病因素尚在探索中，例如新冠肺炎流行期间，腺病毒流行水平较低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致儿童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易感性增加；出现新型腺病毒；腺病毒合并新冠病毒感染；新冠病毒感染并发症导致超级抗原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介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导的免疫细胞活化，从而引起儿童多系统炎症综合征等。对其他病原体的探索也在进行中，非感染性因素也需进一步排除。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三、临床表现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急性起病，多表现为乏力和纳差、恶心、呕吐、腹泻、腹痛等消化道症状，随之出现尿色黄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赤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，皮肤、巩膜黄染，部分患儿可有大便颜色变白、肝脏肿大、发热和呼吸道症状，</w:t>
      </w: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个别可有脾脏肿大。少数病例可在短时间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内进展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为急性肝衰竭，出现黄疸进行性加重、肝性脑病等表现。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四、病例定义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（一）疑似病例：自2021年10月1日起，患有急性肝炎（非甲、乙、丙、丁、戊型肝炎）且血清转氨酶＞500IU/L（ALT或AST），年龄在16岁及以下。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（二）流行病学关联病例：自2021年10月1日起，与疑似病例密切接触的任何年龄的急性肝炎（非甲、乙、丙、丁、戊型肝炎）患者。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（三）目前暂无确诊病例诊断标准。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疑似病例和流行病学关联病例须注意排除药物、常见非肝炎病毒感染（如EB病毒、巨细胞病毒等）、自身免疫性疾病、遗传代谢病等所致肝炎。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五、急性肝衰竭的诊断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疑似病例或流行病学关联病例同时符合以下3条标准：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1.急性发作的肝脏疾病，没有慢性肝病的证据；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2.有严重肝损伤的生化证据；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3.维生素K不能纠正的凝血异常，且满足以下2条之一：（1）凝血酶原时间（PT）≥15s或国际标准比值（INR）≥1.5，伴肝性脑病；（2）PT≥20s或INR≥2，伴或不伴肝性脑病。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六、实验室检查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根据病情需要进行以下实验室检查，以辅助明确病因和判断病情等。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（一）常规检查。血常规和网织红细胞、C反应蛋白、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降钙素原及尿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、便常规等指标。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（二）血生化检查。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1.肝功能：丙氨酸氨基转移酶（ALT）、天冬氨酸氨基转移酶（AST）、总胆红素和直接胆红素、白蛋白、碱性磷酸酶、γ-谷氨酰转移酶、胆汁酸等。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2.其他：血电解质、血糖、乳酸、血氨、肾功能、心肌酶谱等。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（三）凝血功能检查。PT、凝血酶原活动度、INR和活化部分凝血活酶时间等。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（四）病原学检查。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在除外甲、乙、丙、丁和戊型肝炎病毒感染的情况下，应尽可能留取多种样本以便进行病因学调查，包括血液（全血和血浆）、呼吸道（鼻咽或口咽拭子、鼻咽吸取物等）、粪便和尿样本等。若临床需要穿刺检查，可保存组织样本。建议优先进行下列病原学检查。无条件检测时，应积极收集标本并妥善保存备检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1.核酸检测：合适标本为血液、呼吸道或组织样本，有条件者尽量完成新冠病毒、巨细胞病毒、EB病毒、人疱疹病毒6型、人肠道病毒（肠道病毒通用型）、单纯疱疹病毒、</w:t>
      </w: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腺病毒（注意试剂可检测的腺病毒型别，应尽量包括腺病毒40/41型）、细小病毒B19型等病毒核酸检测；有吐泻等胃肠道症状者，可用大便标本进行人腺病毒、轮状病毒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及诺如病毒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等核酸检测。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2.抗原检测：有吐泻等胃肠道症状者，可在大便标本中进行腺病毒、轮状病毒、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诺如病毒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等抗原检测。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3.血清特异性抗体检测：有条件者尽量完成新冠病毒、EB病毒、巨细胞病毒、细小病毒B19型和单纯疱疹病毒等病毒特异性</w:t>
      </w:r>
      <w:proofErr w:type="spellStart"/>
      <w:r>
        <w:rPr>
          <w:rFonts w:ascii="仿宋" w:eastAsia="仿宋" w:hAnsi="仿宋" w:hint="eastAsia"/>
          <w:color w:val="484848"/>
          <w:sz w:val="32"/>
          <w:szCs w:val="32"/>
        </w:rPr>
        <w:t>IgM</w:t>
      </w:r>
      <w:proofErr w:type="spellEnd"/>
      <w:r>
        <w:rPr>
          <w:rFonts w:ascii="仿宋" w:eastAsia="仿宋" w:hAnsi="仿宋" w:hint="eastAsia"/>
          <w:color w:val="484848"/>
          <w:sz w:val="32"/>
          <w:szCs w:val="32"/>
        </w:rPr>
        <w:t>和</w:t>
      </w:r>
      <w:proofErr w:type="spellStart"/>
      <w:r>
        <w:rPr>
          <w:rFonts w:ascii="仿宋" w:eastAsia="仿宋" w:hAnsi="仿宋" w:hint="eastAsia"/>
          <w:color w:val="484848"/>
          <w:sz w:val="32"/>
          <w:szCs w:val="32"/>
        </w:rPr>
        <w:t>IgG</w:t>
      </w:r>
      <w:proofErr w:type="spellEnd"/>
      <w:r>
        <w:rPr>
          <w:rFonts w:ascii="仿宋" w:eastAsia="仿宋" w:hAnsi="仿宋" w:hint="eastAsia"/>
          <w:color w:val="484848"/>
          <w:sz w:val="32"/>
          <w:szCs w:val="32"/>
        </w:rPr>
        <w:t>检测。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4.上述病原学检查阴性，临床高度疑似的感染者，可对血、肝穿刺组织等样本进行宏基因组二代测序。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（五）其他检查。根据临床诊治需要可进行毒物筛查、药物检测、免疫功能检查、自身免疫性抗体检查及遗传代谢病筛查等。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（六）肝穿刺活检。根据病情诊治需要确定是否进行肝穿刺活检，活检组织可进行病理和病原学等检查。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七、影像学表现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（一）腹部超声。建议首选。超声检查可用于评估肝脏大小、轮廓、硬度、肝实质回声、胆囊胆道及腹水等情况，还可作为肝移植前的评估手段。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（二）腹部核磁共振成像。可根据患儿情况酌情选择。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八、治疗措施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应采取对症和支持治疗为主的综合救治措施，要密切观察病情变化，评估精神状态，监测实验室指标，预防并发症。肝衰竭患者应及时转诊至有救治能力的医院。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（一）肝炎期治疗。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1.一般治疗及护理：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（1）休息：减少体力消耗，避免剧烈运动；出现黄疸、呕吐、乏力、纳差时，应适当卧床休息。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（2）营养支持：保证热量摄入，对能进食的患儿给予高碳水化合物、低脂、优质蛋白饮食，并补充多种维生素。进食不足者需静脉补充。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（3）监测病情变化，积极纠正低白蛋白血症、低血糖、水电解质及酸碱平衡紊乱，警惕肝衰竭等并发症。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2.对症治疗：酌情选用护肝药物，有胆汁淤积者可使用熊去氧胆酸等；注意保持大便通畅，便秘者可使用乳果糖，以减少毒物吸收。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（二）肝衰竭治疗。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可转入重症监护病房，在严密监护下给予生命支持治疗。多学科团队的密切协作有助于提高患者存活率。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1.液体治疗：应限制静脉输液总量，避免使用含乳酸的液体，根据血糖水平调整葡萄糖输注速率，维持电解质平衡，注意纠正低白蛋白血症。如出现循环不稳定，应予液体复苏。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2.肝性脑病和颅内高压：保持环境安静；减少不必要的刺激；谨慎使用镇静药物；及时发现并治疗可能使病情加重的因素，包括感染、休克、消化道出血、急性肾损伤和水电解质紊乱等；有脑水肿、颅内高压者，可予甘露醇、高渗盐水和利尿剂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3.高氨血症：血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氨明显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升高或伴有肝性脑病时，应将蛋白摄入量降至1g/kg/d；给予乳果糖等口服或高位灌肠促进排便，减少肠道内氨的吸收；静脉输注精氨酸、门冬氨酸-鸟氨酸等促进氨的排泄；酌情使用支链氨基酸。若仍无效或血氨严重增高，应考虑血液净化治疗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4.凝血功能障碍：静脉补充维生素K1；有活动性出血或侵入性操作时补充新鲜冰冻血浆和/或血小板，纤维蛋白原降低（＜1g/L）可予冷沉淀物等；若无活动性出血或侵入性操作，不建议常规给予血液制品纠正凝血异常，以避免液体超载等输血相关不良反应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5.呼吸衰竭：出现缺氧时予鼻导管吸氧，仍不缓解或加重者，酌情予无创或有创通气。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6.心血管功能障碍：维持有效循环血容量；出现血压降低、心功能障碍者可予升压和强心药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物维持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适当血压，改善心肌收缩力。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7.急性肾损伤：减少或停用利尿剂，避免使用肾毒性药物，维持有效血容量。伴低血压者可选用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特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利加压素或去甲</w:t>
      </w:r>
      <w:r>
        <w:rPr>
          <w:rFonts w:ascii="仿宋" w:eastAsia="仿宋" w:hAnsi="仿宋" w:hint="eastAsia"/>
          <w:color w:val="484848"/>
          <w:sz w:val="32"/>
          <w:szCs w:val="32"/>
        </w:rPr>
        <w:lastRenderedPageBreak/>
        <w:t>肾上腺素联合白蛋白输注。药物治疗后仍有严重少尿或无尿、液量超载、血清肌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酐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进行性升高、严重电解质及酸碱平衡紊乱者可予肾替代治疗。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8.控制继发感染：</w:t>
      </w:r>
      <w:proofErr w:type="gramStart"/>
      <w:r>
        <w:rPr>
          <w:rFonts w:ascii="仿宋" w:eastAsia="仿宋" w:hAnsi="仿宋" w:hint="eastAsia"/>
          <w:color w:val="484848"/>
          <w:sz w:val="32"/>
          <w:szCs w:val="32"/>
        </w:rPr>
        <w:t>疑</w:t>
      </w:r>
      <w:proofErr w:type="gramEnd"/>
      <w:r>
        <w:rPr>
          <w:rFonts w:ascii="仿宋" w:eastAsia="仿宋" w:hAnsi="仿宋" w:hint="eastAsia"/>
          <w:color w:val="484848"/>
          <w:sz w:val="32"/>
          <w:szCs w:val="32"/>
        </w:rPr>
        <w:t>有继发感染时应在留取相关病原学标本后开始抗菌药物治疗，病原明确后根据培养和药敏结果及时调整，感染控制后尽早停用。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9.体外肝脏支持治疗：主要用于常规治疗不能缓解的严重凝血异常、肝性脑病等，或作为肝移植前的过渡治疗。可酌情选用血浆置换、血液灌流及血浆吸附等。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10.肝移植：对内科治疗无效的严重肝衰竭患者，应尽早组织多学科团队评估，决定是否行肝移植。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微软雅黑" w:eastAsia="微软雅黑" w:hAnsi="微软雅黑" w:hint="eastAsia"/>
          <w:color w:val="484848"/>
          <w:sz w:val="32"/>
          <w:szCs w:val="32"/>
        </w:rPr>
        <w:t>九、防控措施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（一）加强手卫生，注意佩戴口罩和饮食卫生等。</w:t>
      </w:r>
    </w:p>
    <w:p w:rsidR="000A5FA4" w:rsidRDefault="000A5FA4" w:rsidP="000A5FA4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（二）在临床工作中，医务人员需采取标准预防措施，一旦发现疑似病例，应按照要求及时上报。</w:t>
      </w:r>
    </w:p>
    <w:p w:rsidR="00D317D4" w:rsidRDefault="00D317D4"/>
    <w:sectPr w:rsidR="00D3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D7"/>
    <w:rsid w:val="000A5FA4"/>
    <w:rsid w:val="00D317D4"/>
    <w:rsid w:val="00DA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539</Words>
  <Characters>3075</Characters>
  <Application>Microsoft Office Word</Application>
  <DocSecurity>0</DocSecurity>
  <Lines>25</Lines>
  <Paragraphs>7</Paragraphs>
  <ScaleCrop>false</ScaleCrop>
  <Company>神州网信技术有限公司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同艳妮</dc:creator>
  <cp:keywords/>
  <dc:description/>
  <cp:lastModifiedBy>同艳妮</cp:lastModifiedBy>
  <cp:revision>2</cp:revision>
  <dcterms:created xsi:type="dcterms:W3CDTF">2022-06-21T11:29:00Z</dcterms:created>
  <dcterms:modified xsi:type="dcterms:W3CDTF">2022-06-21T11:29:00Z</dcterms:modified>
</cp:coreProperties>
</file>