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36" w:rsidRPr="00DB2A65" w:rsidRDefault="00103336" w:rsidP="00DB2A65">
      <w:pPr>
        <w:spacing w:line="720" w:lineRule="auto"/>
        <w:jc w:val="center"/>
        <w:rPr>
          <w:rFonts w:ascii="微软雅黑" w:eastAsia="微软雅黑" w:hAnsi="微软雅黑"/>
          <w:sz w:val="44"/>
          <w:szCs w:val="44"/>
        </w:rPr>
      </w:pPr>
      <w:r w:rsidRPr="00DB2A65">
        <w:rPr>
          <w:rFonts w:ascii="微软雅黑" w:eastAsia="微软雅黑" w:hAnsi="微软雅黑" w:hint="eastAsia"/>
          <w:sz w:val="44"/>
          <w:szCs w:val="44"/>
        </w:rPr>
        <w:t>疑难病例讨论范围</w:t>
      </w:r>
      <w:r w:rsidR="00B53D4D">
        <w:rPr>
          <w:rFonts w:ascii="微软雅黑" w:eastAsia="微软雅黑" w:hAnsi="微软雅黑" w:hint="eastAsia"/>
          <w:sz w:val="44"/>
          <w:szCs w:val="44"/>
        </w:rPr>
        <w:t>（参考）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门诊患者就诊3次未确定诊断者；</w:t>
      </w:r>
    </w:p>
    <w:p w:rsid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住院患者入院</w:t>
      </w:r>
      <w:proofErr w:type="gramStart"/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一周未</w:t>
      </w:r>
      <w:proofErr w:type="gramEnd"/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确定诊断者；</w:t>
      </w:r>
    </w:p>
    <w:p w:rsidR="00B53D4D" w:rsidRPr="00DB2A65" w:rsidRDefault="00B53D4D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疾病在应有明确疗效的周期内未能达到预期疗效者；</w:t>
      </w:r>
    </w:p>
    <w:p w:rsidR="00DB2A65" w:rsidRPr="00DB2A65" w:rsidRDefault="00B53D4D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病房主管医师根据病情认为应属于疑难病例</w:t>
      </w:r>
      <w:r w:rsidR="00103336"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者；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住院期间不明原因的病情恶化或出现严重并发症；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院内感染等经积极抢救仍未脱离危险、病情仍不稳定者；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病情复杂、涉及多个学科或者疗效极差的疑难杂症；</w:t>
      </w:r>
    </w:p>
    <w:p w:rsidR="00DB2A65" w:rsidRPr="00DB2A65" w:rsidRDefault="00103336" w:rsidP="001E184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病情危重需要多科协作抢救的病例；</w:t>
      </w:r>
      <w:bookmarkStart w:id="0" w:name="_GoBack"/>
      <w:bookmarkEnd w:id="0"/>
      <w:r w:rsidR="001E1845" w:rsidRPr="00DB2A65"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  <w:t xml:space="preserve"> 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涉及重大疑难手术的病例；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涉及多脏器严重病理生理异常者、涉及重大手术治疗者；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非计划再次住院和非计划再次手术；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出现可能危及生命或造成器官功能严重损害的并发症；</w:t>
      </w:r>
    </w:p>
    <w:p w:rsidR="00B53D4D" w:rsidRDefault="00B53D4D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住院期间有医疗纠纷倾向者；</w:t>
      </w:r>
    </w:p>
    <w:p w:rsidR="00B53D4D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诊治意见有较大分歧者</w:t>
      </w:r>
      <w:r w:rsidR="00B53D4D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；</w:t>
      </w:r>
    </w:p>
    <w:p w:rsidR="00DB2A65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住院超过30天的患者；</w:t>
      </w:r>
    </w:p>
    <w:p w:rsidR="00103336" w:rsidRPr="00DB2A65" w:rsidRDefault="00103336" w:rsidP="00DB2A65">
      <w:pPr>
        <w:pStyle w:val="a3"/>
        <w:widowControl/>
        <w:numPr>
          <w:ilvl w:val="0"/>
          <w:numId w:val="1"/>
        </w:numPr>
        <w:shd w:val="clear" w:color="auto" w:fill="FFFFFF"/>
        <w:spacing w:line="600" w:lineRule="auto"/>
        <w:ind w:firstLineChars="0"/>
        <w:rPr>
          <w:rFonts w:ascii="微软雅黑" w:eastAsia="微软雅黑" w:hAnsi="微软雅黑"/>
          <w:sz w:val="28"/>
          <w:szCs w:val="28"/>
        </w:rPr>
      </w:pPr>
      <w:r w:rsidRPr="00DB2A65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其它需要讨论的病例。</w:t>
      </w:r>
    </w:p>
    <w:sectPr w:rsidR="00103336" w:rsidRPr="00DB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67F6"/>
    <w:multiLevelType w:val="hybridMultilevel"/>
    <w:tmpl w:val="391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36"/>
    <w:rsid w:val="00103336"/>
    <w:rsid w:val="001E1845"/>
    <w:rsid w:val="00B53D4D"/>
    <w:rsid w:val="00D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E4B2-DA01-46DA-AD2C-BE4BBDAF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</dc:creator>
  <cp:keywords/>
  <dc:description/>
  <cp:lastModifiedBy>同艳妮</cp:lastModifiedBy>
  <cp:revision>3</cp:revision>
  <dcterms:created xsi:type="dcterms:W3CDTF">2023-12-30T15:48:00Z</dcterms:created>
  <dcterms:modified xsi:type="dcterms:W3CDTF">2024-09-03T08:02:00Z</dcterms:modified>
</cp:coreProperties>
</file>