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color w:val="000000"/>
          <w:sz w:val="32"/>
          <w:szCs w:val="32"/>
        </w:rPr>
      </w:pPr>
      <w:r>
        <w:rPr>
          <w:rFonts w:hint="eastAsia" w:ascii="Times New Roman" w:hAnsi="Times New Roman" w:eastAsia="Times New Roman" w:cs="Times New Roman"/>
          <w:b/>
          <w:color w:val="000000"/>
          <w:kern w:val="0"/>
          <w:sz w:val="32"/>
          <w:szCs w:val="32"/>
          <w:lang w:eastAsia="zh-CN" w:bidi="en-US"/>
        </w:rPr>
        <w:t>附件：</w:t>
      </w:r>
      <w:r>
        <w:rPr>
          <w:rFonts w:hint="eastAsia" w:ascii="Times New Roman" w:hAnsi="Times New Roman" w:eastAsia="Times New Roman" w:cs="Times New Roman"/>
          <w:b/>
          <w:color w:val="000000"/>
          <w:kern w:val="0"/>
          <w:sz w:val="32"/>
          <w:szCs w:val="32"/>
          <w:lang w:val="en-US" w:eastAsia="zh-CN" w:bidi="en-US"/>
        </w:rPr>
        <w:t xml:space="preserve">                          省市医保</w:t>
      </w:r>
      <w:r>
        <w:rPr>
          <w:rFonts w:hint="eastAsia" w:ascii="宋体" w:hAnsi="宋体" w:eastAsia="宋体" w:cs="宋体"/>
          <w:b/>
          <w:bCs/>
          <w:color w:val="000000"/>
          <w:sz w:val="32"/>
          <w:szCs w:val="32"/>
        </w:rPr>
        <w:t>特殊药品目录</w:t>
      </w:r>
    </w:p>
    <w:tbl>
      <w:tblPr>
        <w:tblStyle w:val="4"/>
        <w:tblpPr w:leftFromText="180" w:rightFromText="180" w:vertAnchor="text" w:horzAnchor="page" w:tblpX="952" w:tblpY="90"/>
        <w:tblOverlap w:val="never"/>
        <w:tblW w:w="14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432"/>
        <w:gridCol w:w="1403"/>
        <w:gridCol w:w="1725"/>
        <w:gridCol w:w="6733"/>
        <w:gridCol w:w="1836"/>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01" w:type="dxa"/>
            <w:noWrap w:val="0"/>
            <w:vAlign w:val="center"/>
          </w:tcPr>
          <w:p>
            <w:pPr>
              <w:spacing w:line="280" w:lineRule="exact"/>
              <w:jc w:val="center"/>
              <w:rPr>
                <w:rFonts w:hint="eastAsia" w:ascii="Times New Roman" w:hAnsi="Times New Roman" w:eastAsia="宋体" w:cs="Times New Roman"/>
                <w:b/>
                <w:color w:val="000000"/>
                <w:kern w:val="0"/>
                <w:sz w:val="24"/>
                <w:szCs w:val="24"/>
                <w:lang w:eastAsia="zh-CN" w:bidi="en-US"/>
              </w:rPr>
            </w:pPr>
            <w:r>
              <w:rPr>
                <w:rFonts w:hint="eastAsia" w:ascii="Times New Roman" w:hAnsi="Times New Roman" w:eastAsia="宋体" w:cs="Times New Roman"/>
                <w:b/>
                <w:color w:val="000000"/>
                <w:kern w:val="0"/>
                <w:sz w:val="24"/>
                <w:szCs w:val="24"/>
                <w:lang w:eastAsia="zh-CN" w:bidi="en-US"/>
              </w:rPr>
              <w:t>序号</w:t>
            </w:r>
          </w:p>
        </w:tc>
        <w:tc>
          <w:tcPr>
            <w:tcW w:w="1432" w:type="dxa"/>
            <w:noWrap w:val="0"/>
            <w:vAlign w:val="center"/>
          </w:tcPr>
          <w:p>
            <w:pPr>
              <w:spacing w:line="280" w:lineRule="exact"/>
              <w:jc w:val="center"/>
              <w:rPr>
                <w:rFonts w:hint="eastAsia" w:ascii="Times New Roman" w:hAnsi="Times New Roman" w:eastAsia="宋体" w:cs="Times New Roman"/>
                <w:b/>
                <w:color w:val="000000"/>
                <w:kern w:val="0"/>
                <w:sz w:val="24"/>
                <w:szCs w:val="24"/>
                <w:lang w:eastAsia="zh-CN" w:bidi="en-US"/>
              </w:rPr>
            </w:pPr>
            <w:r>
              <w:rPr>
                <w:rFonts w:hint="eastAsia" w:ascii="Times New Roman" w:hAnsi="Times New Roman" w:eastAsia="宋体" w:cs="Times New Roman"/>
                <w:b/>
                <w:color w:val="000000"/>
                <w:kern w:val="0"/>
                <w:sz w:val="24"/>
                <w:szCs w:val="24"/>
                <w:lang w:eastAsia="zh-CN" w:bidi="en-US"/>
              </w:rPr>
              <w:t>药品名称</w:t>
            </w:r>
          </w:p>
        </w:tc>
        <w:tc>
          <w:tcPr>
            <w:tcW w:w="1403" w:type="dxa"/>
            <w:noWrap w:val="0"/>
            <w:vAlign w:val="center"/>
          </w:tcPr>
          <w:p>
            <w:pPr>
              <w:spacing w:line="280" w:lineRule="exact"/>
              <w:jc w:val="center"/>
              <w:rPr>
                <w:rFonts w:hint="eastAsia" w:ascii="Times New Roman" w:hAnsi="Times New Roman" w:eastAsia="宋体" w:cs="Times New Roman"/>
                <w:b/>
                <w:color w:val="000000"/>
                <w:kern w:val="0"/>
                <w:sz w:val="24"/>
                <w:szCs w:val="24"/>
                <w:lang w:eastAsia="zh-CN" w:bidi="en-US"/>
              </w:rPr>
            </w:pPr>
            <w:r>
              <w:rPr>
                <w:rFonts w:hint="eastAsia" w:ascii="Times New Roman" w:hAnsi="Times New Roman" w:eastAsia="宋体" w:cs="Times New Roman"/>
                <w:b/>
                <w:color w:val="000000"/>
                <w:kern w:val="0"/>
                <w:sz w:val="24"/>
                <w:szCs w:val="24"/>
                <w:lang w:eastAsia="zh-CN" w:bidi="en-US"/>
              </w:rPr>
              <w:t>剂型</w:t>
            </w:r>
          </w:p>
        </w:tc>
        <w:tc>
          <w:tcPr>
            <w:tcW w:w="1725" w:type="dxa"/>
            <w:noWrap w:val="0"/>
            <w:vAlign w:val="center"/>
          </w:tcPr>
          <w:p>
            <w:pPr>
              <w:spacing w:line="280" w:lineRule="exact"/>
              <w:jc w:val="center"/>
              <w:rPr>
                <w:rFonts w:hint="eastAsia" w:ascii="Times New Roman" w:hAnsi="Times New Roman" w:eastAsia="宋体" w:cs="Times New Roman"/>
                <w:b/>
                <w:color w:val="000000"/>
                <w:kern w:val="0"/>
                <w:sz w:val="24"/>
                <w:szCs w:val="24"/>
                <w:lang w:eastAsia="zh-CN" w:bidi="en-US"/>
              </w:rPr>
            </w:pPr>
            <w:r>
              <w:rPr>
                <w:rFonts w:hint="eastAsia" w:ascii="Times New Roman" w:hAnsi="Times New Roman" w:eastAsia="宋体" w:cs="Times New Roman"/>
                <w:b/>
                <w:color w:val="000000"/>
                <w:kern w:val="0"/>
                <w:sz w:val="24"/>
                <w:szCs w:val="24"/>
                <w:lang w:eastAsia="zh-CN" w:bidi="en-US"/>
              </w:rPr>
              <w:t>医保支付标准</w:t>
            </w:r>
          </w:p>
        </w:tc>
        <w:tc>
          <w:tcPr>
            <w:tcW w:w="6733" w:type="dxa"/>
            <w:noWrap w:val="0"/>
            <w:vAlign w:val="center"/>
          </w:tcPr>
          <w:p>
            <w:pPr>
              <w:spacing w:line="280" w:lineRule="exact"/>
              <w:jc w:val="center"/>
              <w:rPr>
                <w:rFonts w:hint="eastAsia" w:ascii="Times New Roman" w:hAnsi="Times New Roman" w:eastAsia="宋体" w:cs="Times New Roman"/>
                <w:b/>
                <w:color w:val="000000"/>
                <w:kern w:val="0"/>
                <w:sz w:val="24"/>
                <w:szCs w:val="24"/>
                <w:lang w:eastAsia="zh-CN" w:bidi="en-US"/>
              </w:rPr>
            </w:pPr>
            <w:r>
              <w:rPr>
                <w:rFonts w:hint="eastAsia" w:ascii="Times New Roman" w:hAnsi="Times New Roman" w:eastAsia="宋体" w:cs="Times New Roman"/>
                <w:b/>
                <w:color w:val="000000"/>
                <w:kern w:val="0"/>
                <w:sz w:val="24"/>
                <w:szCs w:val="24"/>
                <w:lang w:eastAsia="zh-CN" w:bidi="en-US"/>
              </w:rPr>
              <w:t>支付范围限制</w:t>
            </w:r>
          </w:p>
        </w:tc>
        <w:tc>
          <w:tcPr>
            <w:tcW w:w="1836" w:type="dxa"/>
            <w:noWrap w:val="0"/>
            <w:vAlign w:val="center"/>
          </w:tcPr>
          <w:p>
            <w:pPr>
              <w:spacing w:line="280" w:lineRule="exact"/>
              <w:jc w:val="center"/>
              <w:rPr>
                <w:rFonts w:hint="eastAsia" w:ascii="Times New Roman" w:hAnsi="Times New Roman" w:eastAsia="宋体" w:cs="Times New Roman"/>
                <w:b/>
                <w:color w:val="000000"/>
                <w:kern w:val="0"/>
                <w:sz w:val="24"/>
                <w:szCs w:val="24"/>
                <w:lang w:eastAsia="zh-CN" w:bidi="en-US"/>
              </w:rPr>
            </w:pPr>
            <w:r>
              <w:rPr>
                <w:rFonts w:hint="eastAsia" w:ascii="Times New Roman" w:hAnsi="Times New Roman" w:eastAsia="宋体" w:cs="Times New Roman"/>
                <w:b/>
                <w:color w:val="000000"/>
                <w:kern w:val="0"/>
                <w:sz w:val="24"/>
                <w:szCs w:val="24"/>
                <w:lang w:eastAsia="zh-CN" w:bidi="en-US"/>
              </w:rPr>
              <w:t>协议有效期</w:t>
            </w:r>
          </w:p>
        </w:tc>
        <w:tc>
          <w:tcPr>
            <w:tcW w:w="1063" w:type="dxa"/>
            <w:noWrap w:val="0"/>
            <w:vAlign w:val="center"/>
          </w:tcPr>
          <w:p>
            <w:pPr>
              <w:spacing w:line="280" w:lineRule="exact"/>
              <w:jc w:val="center"/>
              <w:rPr>
                <w:rFonts w:hint="eastAsia" w:ascii="Times New Roman" w:hAnsi="Times New Roman" w:eastAsia="宋体" w:cs="Times New Roman"/>
                <w:b/>
                <w:color w:val="000000"/>
                <w:kern w:val="0"/>
                <w:sz w:val="24"/>
                <w:szCs w:val="24"/>
                <w:lang w:eastAsia="zh-CN" w:bidi="en-US"/>
              </w:rPr>
            </w:pPr>
            <w:r>
              <w:rPr>
                <w:rFonts w:hint="eastAsia" w:ascii="Times New Roman" w:hAnsi="Times New Roman" w:eastAsia="宋体" w:cs="Times New Roman"/>
                <w:b/>
                <w:color w:val="000000"/>
                <w:kern w:val="0"/>
                <w:sz w:val="24"/>
                <w:szCs w:val="24"/>
                <w:lang w:eastAsia="zh-CN" w:bidi="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1</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麦格司他</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限C型尼曼匹克病患者。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2</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司来帕格</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限WHO功能分级II级-III级的肺动脉高压（WHO第1组）的患者。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3</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罗沙司他</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限慢性肾脏病引起贫血的患者。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4</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波生坦</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32mg/片（分散片）限3-12岁特发性或先天性肺动脉高压患者；125mg/片限WHO功能分级II级-IV级的肺动脉高压（WHO第1组）的患者。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5</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利奥西呱</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限以下情况方可支付：1.术后持续性或复发性慢性血栓栓塞性肺动脉高压（CTEPH）或不能手术的CTEPH，且（WHO FC）为II-III的患者；2.动脉性肺动脉高压（PAH）且（WHO FC）为II-III患者的二线用药。</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6</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马昔腾坦</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限WHO功能分级II级-III级的肺动脉高压（WHO第1组）的患者。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7</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沙库巴曲</w:t>
            </w:r>
          </w:p>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缬沙坦</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限慢性心力衰竭（NYHA II-IV级）患者，首次处方时应有射血分数降低的证据。</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8</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奥曲肽</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微球注射剂</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5800元（20mg/瓶)；7911元（30mg/瓶)</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限胃肠胰内分泌肿瘤、肢端肥大症，按说明书用药。</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9</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泊沙康唑</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口服液体剂</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限以下情况方可支付：1.预防移植后（干细胞及实体器官移植）及恶性肿瘤患者有重度粒细胞缺乏的侵袭性曲霉菌和念球菌感染。2.伊曲康唑或氟康唑难治性口咽念珠菌病</w:t>
            </w:r>
            <w:r>
              <w:rPr>
                <w:rFonts w:hint="eastAsia" w:ascii="Times New Roman" w:hAnsi="Times New Roman" w:eastAsia="宋体" w:cs="Times New Roman"/>
                <w:color w:val="000000"/>
                <w:kern w:val="0"/>
                <w:sz w:val="18"/>
                <w:szCs w:val="18"/>
                <w:lang w:eastAsia="zh-CN" w:bidi="en-US"/>
              </w:rPr>
              <w:t>。</w:t>
            </w:r>
            <w:r>
              <w:rPr>
                <w:rFonts w:ascii="Times New Roman" w:hAnsi="Times New Roman" w:eastAsia="Times New Roman" w:cs="Times New Roman"/>
                <w:color w:val="000000"/>
                <w:kern w:val="0"/>
                <w:sz w:val="18"/>
                <w:szCs w:val="18"/>
                <w:lang w:eastAsia="en-US" w:bidi="en-US"/>
              </w:rPr>
              <w:t>3.接合菌纲类感染。</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10</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贝达喹啉</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限耐多药结核患者。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11</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德拉马尼</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限耐多药结核患者。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12</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奥马珠单抗</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限经吸入型糖皮质激素和长效吸入型β2-肾上腺素受体激动剂治疗后，仍不能有效控制症状的中至重度持续性过敏性哮喘患者，并需IgE（免疫球蛋白E）介导确诊证据。</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13</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丙酚替诺福韦</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17.98元（25mg/片）</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限慢性乙型肝炎患者。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14</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艾尔巴韦格拉瑞韦</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限经HCV基因分型检测确诊为基因1b型的慢性丙型肝炎患者。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15</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来迪派韦索磷布韦</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限经HCV基因分型检测确诊为基因1b型的慢性丙型肝炎患者。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16</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索磷布韦维帕他韦</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限经HCV基因分型检测确诊为基因1b型以外的慢性丙型肝炎患者。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17</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重组细胞因子基因衍生蛋白</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注射剂</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325元（ 10μ g/瓶）</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限HBeAg阳性的慢性乙型肝炎患者。</w:t>
            </w:r>
          </w:p>
        </w:tc>
        <w:tc>
          <w:tcPr>
            <w:tcW w:w="1836" w:type="dxa"/>
            <w:noWrap w:val="0"/>
            <w:vAlign w:val="center"/>
          </w:tcPr>
          <w:p>
            <w:pPr>
              <w:spacing w:line="320" w:lineRule="exact"/>
              <w:jc w:val="center"/>
              <w:rPr>
                <w:rFonts w:hint="eastAsia" w:ascii="Times New Roman" w:hAnsi="Times New Roman" w:eastAsia="宋体" w:cs="Times New Roman"/>
                <w:color w:val="FF0000"/>
                <w:kern w:val="0"/>
                <w:sz w:val="18"/>
                <w:szCs w:val="18"/>
                <w:lang w:eastAsia="zh-CN" w:bidi="en-US"/>
              </w:rPr>
            </w:pPr>
            <w:r>
              <w:rPr>
                <w:rFonts w:hint="eastAsia" w:ascii="Times New Roman" w:hAnsi="Times New Roman" w:eastAsia="宋体" w:cs="Times New Roman"/>
                <w:color w:val="FF0000"/>
                <w:kern w:val="0"/>
                <w:sz w:val="18"/>
                <w:szCs w:val="18"/>
                <w:lang w:eastAsia="zh-CN" w:bidi="en-US"/>
              </w:rPr>
              <w:t>市医保特药，</w:t>
            </w:r>
          </w:p>
          <w:p>
            <w:pPr>
              <w:spacing w:line="320" w:lineRule="exact"/>
              <w:jc w:val="center"/>
              <w:rPr>
                <w:rFonts w:hint="eastAsia" w:ascii="Times New Roman" w:hAnsi="Times New Roman" w:eastAsia="宋体" w:cs="Times New Roman"/>
                <w:color w:val="000000"/>
                <w:kern w:val="0"/>
                <w:sz w:val="18"/>
                <w:szCs w:val="18"/>
                <w:lang w:val="en-US" w:eastAsia="zh-CN" w:bidi="en-US"/>
              </w:rPr>
            </w:pPr>
            <w:r>
              <w:rPr>
                <w:rFonts w:hint="eastAsia" w:ascii="Times New Roman" w:hAnsi="Times New Roman" w:eastAsia="宋体" w:cs="Times New Roman"/>
                <w:color w:val="FF0000"/>
                <w:kern w:val="0"/>
                <w:sz w:val="18"/>
                <w:szCs w:val="18"/>
                <w:lang w:eastAsia="zh-CN" w:bidi="en-US"/>
              </w:rPr>
              <w:t>省医保未按特药管理</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18</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艾考恩丙替</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43元（每片含150mg艾维雷韦，150mg考比司他，200mg恩曲他滨，10mg丙酚替诺福韦）</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限艾滋病病毒感染。</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19</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雷替曲塞</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669元（2mg/支）</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限氟尿嘧啶类药物不耐受的晚期结直肠癌患者。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20</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阿扎胞苷</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1055元（100mg/支）</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成年患者中1.国际预后评分系统（IPSS）中的中危-2及高危骨髓增生异常综合征（MDS)；2.慢性粒-单核细胞白血病（CMML)；3.按照世界卫生组织（WHO）分类的急性髓系白血病（AML）、骨髓原始细胞为20-30%伴多系发育异常的治疗。</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21</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西妥昔单抗</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1295元100mg(20ml)/ 瓶）</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限RAS基因野生型的转移性结直肠癌。</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22</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贝伐珠单抗</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限晚期转移性结直肠癌或晚期非鳞非小细胞肺癌。</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23</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尼妥珠单抗</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限与放疗联合治疗表皮生长因子受体（EGFR）表达阳性的III/IV期鼻咽癌。</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24</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曲妥珠单抗</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限以下情况方可支付：1.HER2阳性的转移性乳腺癌；2.HER2阳性的早期乳腺癌患者的辅助和新辅助治疗，支付不超过12个月；3.HER2阳性的转移性胃癌患者。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25</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帕妥珠单抗</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限以下情况方可支付，且支付不超过12个月：1.HER2阳性的局部晚期、炎性或早期乳腺癌患者的新辅助治疗。2.具有高复发风险HER2阳性早期乳腺癌患者的辅助治疗。</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26</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信迪利单抗</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2843元（10ml:100mg/瓶）</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限至少经过二线系统化疗的复发或难治性经典型霍奇金淋巴瘤的患者。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27</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厄洛替尼</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限表皮生长因子受体（EGFR）基因敏感突变的晚期非小细胞肺癌患者。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28</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阿法替尼</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160.5元（30mg/片）；</w:t>
            </w:r>
            <w:r>
              <w:rPr>
                <w:rFonts w:ascii="Times New Roman" w:hAnsi="Times New Roman" w:eastAsia="Times New Roman" w:cs="Times New Roman"/>
                <w:color w:val="000000"/>
                <w:kern w:val="0"/>
                <w:sz w:val="18"/>
                <w:szCs w:val="18"/>
                <w:lang w:eastAsia="en-US" w:bidi="en-US"/>
              </w:rPr>
              <w:br w:type="textWrapping"/>
            </w:r>
            <w:r>
              <w:rPr>
                <w:rFonts w:ascii="Times New Roman" w:hAnsi="Times New Roman" w:eastAsia="Times New Roman" w:cs="Times New Roman"/>
                <w:color w:val="000000"/>
                <w:kern w:val="0"/>
                <w:sz w:val="18"/>
                <w:szCs w:val="18"/>
                <w:lang w:eastAsia="en-US" w:bidi="en-US"/>
              </w:rPr>
              <w:t>200元（40mg/片)</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1.具有EGFR基因敏感突变的局部晚期或转移性非小细胞肺癌，既往未接受过EGFR-TKI治疗。2.含铂化疗期间或化疗后疾病进展的局部晚期或转移性鳞状组织学类型的非小细胞肺癌。</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29</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奥希替尼</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300元（40mg/片）；510元（80mg/片)</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限既往因表皮生长因子受体（EGFR）酪氨酸激酶抑制剂（TKI）治疗时或治疗后出现疾病进展，并且经检验确认存在EGFR T790M 突变阳性的局部晚期或转移性非小细胞肺癌成人患者。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30</w:t>
            </w:r>
          </w:p>
        </w:tc>
        <w:tc>
          <w:tcPr>
            <w:tcW w:w="1432"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安罗替尼</w:t>
            </w:r>
          </w:p>
        </w:tc>
        <w:tc>
          <w:tcPr>
            <w:tcW w:w="140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357元（8mg/粒)；</w:t>
            </w:r>
            <w:r>
              <w:rPr>
                <w:rFonts w:ascii="Times New Roman" w:hAnsi="Times New Roman" w:eastAsia="Times New Roman" w:cs="Times New Roman"/>
                <w:color w:val="000000"/>
                <w:kern w:val="0"/>
                <w:sz w:val="18"/>
                <w:szCs w:val="18"/>
                <w:lang w:eastAsia="en-US" w:bidi="en-US"/>
              </w:rPr>
              <w:br w:type="textWrapping"/>
            </w:r>
            <w:r>
              <w:rPr>
                <w:rFonts w:ascii="Times New Roman" w:hAnsi="Times New Roman" w:eastAsia="Times New Roman" w:cs="Times New Roman"/>
                <w:color w:val="000000"/>
                <w:kern w:val="0"/>
                <w:sz w:val="18"/>
                <w:szCs w:val="18"/>
                <w:lang w:eastAsia="en-US" w:bidi="en-US"/>
              </w:rPr>
              <w:t>423.6元（10mg/粒)；</w:t>
            </w:r>
            <w:r>
              <w:rPr>
                <w:rFonts w:ascii="Times New Roman" w:hAnsi="Times New Roman" w:eastAsia="Times New Roman" w:cs="Times New Roman"/>
                <w:color w:val="000000"/>
                <w:kern w:val="0"/>
                <w:sz w:val="18"/>
                <w:szCs w:val="18"/>
                <w:lang w:eastAsia="en-US" w:bidi="en-US"/>
              </w:rPr>
              <w:br w:type="textWrapping"/>
            </w:r>
            <w:r>
              <w:rPr>
                <w:rFonts w:ascii="Times New Roman" w:hAnsi="Times New Roman" w:eastAsia="Times New Roman" w:cs="Times New Roman"/>
                <w:color w:val="000000"/>
                <w:kern w:val="0"/>
                <w:sz w:val="18"/>
                <w:szCs w:val="18"/>
                <w:lang w:eastAsia="en-US" w:bidi="en-US"/>
              </w:rPr>
              <w:t>487元（12mg/粒)</w:t>
            </w:r>
          </w:p>
        </w:tc>
        <w:tc>
          <w:tcPr>
            <w:tcW w:w="6733" w:type="dxa"/>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限既往至少接受过2种系统化疗后出现进展或复发的局部晚期或转移性非小细胞肺癌患者。</w:t>
            </w:r>
          </w:p>
        </w:tc>
        <w:tc>
          <w:tcPr>
            <w:tcW w:w="1836"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31</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克唑替尼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219.2元（200mg/粒）；260元（250mg/粒)</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限间变性淋巴瘤激酶（ALK）阳性的局部晚期或转移性非小细胞肺癌患者或 ROS1阳性的晚期非小细胞肺癌患者。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32</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塞瑞替尼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198元（150mg/粒）</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接受过克唑替尼治疗后进展的或者对克唑替尼不耐受的间变性淋巴瘤激酶（ALK）阳性局部晚期或转移性非小细胞肺癌患者。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33</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阿来替尼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限间变性淋巴瘤激酶（ALK）阳性的局部晚期或转移性非小细胞肺癌患者。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34</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培唑帕尼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160元（200mg/片)；</w:t>
            </w:r>
            <w:r>
              <w:rPr>
                <w:rFonts w:ascii="Times New Roman" w:hAnsi="Times New Roman" w:eastAsia="Times New Roman" w:cs="Times New Roman"/>
                <w:color w:val="000000"/>
                <w:kern w:val="0"/>
                <w:sz w:val="18"/>
                <w:szCs w:val="18"/>
                <w:lang w:eastAsia="en-US" w:bidi="en-US"/>
              </w:rPr>
              <w:br w:type="textWrapping"/>
            </w:r>
            <w:r>
              <w:rPr>
                <w:rFonts w:ascii="Times New Roman" w:hAnsi="Times New Roman" w:eastAsia="Times New Roman" w:cs="Times New Roman"/>
                <w:color w:val="000000"/>
                <w:kern w:val="0"/>
                <w:sz w:val="18"/>
                <w:szCs w:val="18"/>
                <w:lang w:eastAsia="en-US" w:bidi="en-US"/>
              </w:rPr>
              <w:t>272元（400mg/片)</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限晚期肾细胞癌患者的一线治疗和曾经接受过细胞因子治疗的晚期肾细胞癌的治疗。</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35</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阿昔替尼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60.4元（1mg/片）；207元（5mg/片)</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限既往接受过一种酪氨酸激酶抑制剂或细胞因子治疗失败的进展期肾细胞癌(RCC)的成人患者。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36</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索拉非尼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限以下情况方可支付：1.不能手术的肾细胞癌。2.不能手术或远处转移的肝细胞癌。3.放射性碘治疗无效的局部复发或转移性、分化型甲状腺癌。</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37</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瑞戈非尼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196元（40mg/片）</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1.肝细胞癌二线治疗；2.转移性结直肠癌三线治疗；3.胃肠道间质瘤三线治疗。</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38</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舒尼替尼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155元（12.5mg/粒)；</w:t>
            </w:r>
            <w:r>
              <w:rPr>
                <w:rFonts w:ascii="Times New Roman" w:hAnsi="Times New Roman" w:eastAsia="Times New Roman" w:cs="Times New Roman"/>
                <w:color w:val="000000"/>
                <w:kern w:val="0"/>
                <w:sz w:val="18"/>
                <w:szCs w:val="18"/>
                <w:lang w:eastAsia="en-US" w:bidi="en-US"/>
              </w:rPr>
              <w:br w:type="textWrapping"/>
            </w:r>
            <w:r>
              <w:rPr>
                <w:rFonts w:ascii="Times New Roman" w:hAnsi="Times New Roman" w:eastAsia="Times New Roman" w:cs="Times New Roman"/>
                <w:color w:val="000000"/>
                <w:kern w:val="0"/>
                <w:sz w:val="18"/>
                <w:szCs w:val="18"/>
                <w:lang w:eastAsia="en-US" w:bidi="en-US"/>
              </w:rPr>
              <w:t>263.5元（25mg/粒)；</w:t>
            </w:r>
            <w:r>
              <w:rPr>
                <w:rFonts w:ascii="Times New Roman" w:hAnsi="Times New Roman" w:eastAsia="Times New Roman" w:cs="Times New Roman"/>
                <w:color w:val="000000"/>
                <w:kern w:val="0"/>
                <w:sz w:val="18"/>
                <w:szCs w:val="18"/>
                <w:lang w:eastAsia="en-US" w:bidi="en-US"/>
              </w:rPr>
              <w:br w:type="textWrapping"/>
            </w:r>
            <w:r>
              <w:rPr>
                <w:rFonts w:ascii="Times New Roman" w:hAnsi="Times New Roman" w:eastAsia="Times New Roman" w:cs="Times New Roman"/>
                <w:color w:val="000000"/>
                <w:kern w:val="0"/>
                <w:sz w:val="18"/>
                <w:szCs w:val="18"/>
                <w:lang w:eastAsia="en-US" w:bidi="en-US"/>
              </w:rPr>
              <w:t>359.4元（37.5mg/粒)；</w:t>
            </w:r>
            <w:r>
              <w:rPr>
                <w:rFonts w:ascii="Times New Roman" w:hAnsi="Times New Roman" w:eastAsia="Times New Roman" w:cs="Times New Roman"/>
                <w:color w:val="000000"/>
                <w:kern w:val="0"/>
                <w:sz w:val="18"/>
                <w:szCs w:val="18"/>
                <w:lang w:eastAsia="en-US" w:bidi="en-US"/>
              </w:rPr>
              <w:br w:type="textWrapping"/>
            </w:r>
            <w:r>
              <w:rPr>
                <w:rFonts w:ascii="Times New Roman" w:hAnsi="Times New Roman" w:eastAsia="Times New Roman" w:cs="Times New Roman"/>
                <w:color w:val="000000"/>
                <w:kern w:val="0"/>
                <w:sz w:val="18"/>
                <w:szCs w:val="18"/>
                <w:lang w:eastAsia="en-US" w:bidi="en-US"/>
              </w:rPr>
              <w:t>448元（50mg/粒)</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1.不能手术的晚期肾细胞癌（RCC)；2.甲磺酸伊马替尼治疗失败或不能耐受的胃肠间质瘤（GIST)；3.不可切除的，转移性高分化进展期胰腺神经内分泌瘤（pNET）成人患者。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39</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阿帕替尼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115元（250mg/片）；156.86元（375mg/片）；</w:t>
            </w:r>
            <w:r>
              <w:rPr>
                <w:rFonts w:ascii="Times New Roman" w:hAnsi="Times New Roman" w:eastAsia="Times New Roman" w:cs="Times New Roman"/>
                <w:color w:val="000000"/>
                <w:kern w:val="0"/>
                <w:sz w:val="18"/>
                <w:szCs w:val="18"/>
                <w:lang w:eastAsia="en-US" w:bidi="en-US"/>
              </w:rPr>
              <w:br w:type="textWrapping"/>
            </w:r>
            <w:r>
              <w:rPr>
                <w:rFonts w:ascii="Times New Roman" w:hAnsi="Times New Roman" w:eastAsia="Times New Roman" w:cs="Times New Roman"/>
                <w:color w:val="000000"/>
                <w:kern w:val="0"/>
                <w:sz w:val="18"/>
                <w:szCs w:val="18"/>
                <w:lang w:eastAsia="en-US" w:bidi="en-US"/>
              </w:rPr>
              <w:t>172.63元（425mg/片）</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限既往至少接受过2种系统化疗后进展或复发的晚期胃腺癌或胃-食管结合部腺癌患者。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40</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呋喹替尼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94.5元（1mg/粒）；378元（5mg/粒）</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限转移性结直肠癌患者的三线治疗。</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41</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吡咯替尼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限表皮生长因子受体2（HER2）阳性的复发或转移性乳腺癌患者的二线治疗。</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42</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尼洛替尼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76元（150mg/粒)；94.7元（200mg/粒)</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限治疗新诊断的费城染色体阳性的慢性髓性白血病（Ph+ CML）慢性期成人患者，或对既往治疗（包括伊马替尼）耐药或不耐受的费城染色体阳性的慢性髓性白血病（Ph+ CML）慢性期或加速期成人患者。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43</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伊布替尼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189元（140mg/粒）</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1.既往至少接受过一种治疗的套细胞淋巴瘤（MCL）患者的治疗;2.慢性淋巴细胞白血病/小淋巴细胞淋巴瘤（CLL/SLL）患者的治疗。</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44</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维莫非尼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112元（240mg/片）</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治疗经CFDA批准的检测方法确定的BRAF V600 突变阳性的不可切除或转移性黑色素瘤。</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45</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芦可替尼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限中危或高危的原发性骨髓纤维化（PMF）、真性红细胞增多症继发的骨髓纤维化（PPV-MF）或原发性血小板增多症继发的骨髓纤维化（PET-MF）的患者。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46</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伊沙佐米</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3229.4元（2.3mg/粒)；3957.9元（3mg/粒)；4933元（4mg/粒)</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1.每2个疗程需提供治疗有效的证据后方可继续支付；2.由三级医院血液专科或血液专科医院医师处方；3.与来那度胺联合使用时，只支付伊沙佐米或来那度胺中的一种。</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47</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培门冬酶</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1477.7元（2ml:1500IU/支）；2980元（5ml:3750IU/支)</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儿童急性淋巴细胞白血病患者的一线治疗。</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2019年1月1日至2020年12月31日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48</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奥拉帕利</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限铂敏感的复发性上皮性卵巢癌、输卵管癌或原发性腹膜癌患者。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49</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重组人血管内皮抑制素</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490元（15mg/3ml/支）</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限晚期非小细胞肺癌患者。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50</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西达本胺</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343元（5mg/片）</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限既往至少接受过1次全身化疗的复发或难治的外周T细胞淋巴瘤（PTCL）患者。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51</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硫培非格司亭</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限前次化疗曾发生重度中性粒细胞减少合并发热的患者。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52</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托法替布</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限诊断明确的类风湿关节炎经传统DMARDs治疗3-6个月疾病活动度下降低于50%者，并需风湿病专科医师处方。</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53</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特立氟胺</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限常规治疗无效的多发性硬化患者。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54</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依维莫司</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以下情况方可支付：1.接受舒尼替尼或索拉非尼治疗失败的晚期肾细胞癌成人患者。2.不可切除的、局部晚期或转移性的、分化良好的（中度分化或高度分化）进展期胰腺神经内分泌瘤成人患者。3.无法手术切除的、局部晚期或转移性的、分化良好的、进展期非功能性胃肠道或肺源神经内分泌肿瘤患者。4.不需立即手术治疗的结节性硬化症相关的肾血管平滑肌脂肪瘤（TSC-AML)成人患者。5.不能手术的结节性硬化症相关的室管膜下巨细胞星型细胞瘤的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55</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阿达木单抗</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1290元（40mg/0.4ml 预填充式注射笔，40mg/0.4ml 预填充式注射器，40mg/0.8ml 预填充式注射笔，40mg/0.8ml 预填充式注射器）</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以下情况方可支付：1.诊断明确的类风湿关节炎经传统DMARDs治疗3-6个月疾病活动度下降低于50%者；诊断明确的强直性脊柱炎（不含放射学前期中轴性脊柱关节炎）NSAIDs充分治疗3个月疾病活动度下降低于50%者；并需风湿病专科医师处方。2.对系统性治疗无效、禁忌或不耐受的中重度斑块状银屑病患者，需按说明书用药。</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56</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英夫利西单抗</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以下情况方可支付：1.诊断明确的类风湿关节炎经传统DMARDs治疗3-6个月疾病活动度下降低于50%者；诊断明确的强直性脊柱炎（不含放射学前期中轴性脊柱关节炎）NSAIDs充分治疗3个月疾病活动度下降低于50%者；并需风湿病专科医师处方。2.对系统性治疗无效、禁忌或不耐受的重度斑块状银屑病患者，需按说明书用药。3.克罗恩病患者的二线治疗。4.中重度溃疡性结肠炎患者的二线治疗。</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57</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他氟前列素</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滴眼剂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74.8元 （2.5ml：37.5μg/支）</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　</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58</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地塞米松</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玻璃体内植入剂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4000元（0.7mg/支）</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视网膜静脉阻塞（RVO）的黄斑水肿患者，并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5支，每个年度最多支付2支。</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59</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康柏西普</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眼用注射液</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4160元（0.2ml/支）</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以下疾病：1.50岁以上的湿性年龄相关性黄斑变性（AMD）；2.糖尿病性黄斑水肿（DME）引起的视力损害；3.脉络膜新生血管（CNV）导致的视力损害。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和康柏西普的药品支数合并计算。</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60</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阿柏西普</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眼内注射溶液</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以下疾病：1.50岁以上的湿性年龄相关性黄斑变性（AMD）；2.糖尿病性黄斑水肿（DME）引起的视力损害。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和康柏西普的药品支数合并计算。</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61</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雷珠单抗</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以下疾病：1.50岁以上的湿性年龄相关性黄斑变性（AMD）；2.糖尿病性黄斑水肿（DME）引起的视力损害；3.脉络膜新生血管（CNV）导致的视力损害；4.继发于视网膜静脉阻塞（RVO）的黄斑水肿引起的视力损害。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和康柏西普的药品支数合并计算。</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62</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地拉罗司</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　</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2020年1月1日至2021年12月31日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国家谈判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63</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托伐普坦</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99元（15mg/片）；168.3元（30mg/片）</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以下情况方可支付：1.明显的高容量性和正常容量性低钠血症（血钠浓度&lt;125mEq/L，或低钠血症不明显但有症状且限液治疗效果不佳），包括伴有心力衰竭/肝硬化以及抗利尿剂激素分泌异常综合征的患者。2.其他利尿剂治疗效果不理想的心力衰竭引起的体液潴留。</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宋体" w:cs="Times New Roman"/>
                <w:color w:val="FF0000"/>
                <w:kern w:val="0"/>
                <w:sz w:val="18"/>
                <w:szCs w:val="18"/>
                <w:lang w:eastAsia="zh-CN" w:bidi="en-US"/>
              </w:rPr>
            </w:pPr>
            <w:r>
              <w:rPr>
                <w:rFonts w:hint="eastAsia" w:ascii="Times New Roman" w:hAnsi="Times New Roman" w:eastAsia="宋体" w:cs="Times New Roman"/>
                <w:color w:val="FF0000"/>
                <w:kern w:val="0"/>
                <w:sz w:val="18"/>
                <w:szCs w:val="18"/>
                <w:lang w:eastAsia="zh-CN" w:bidi="en-US"/>
              </w:rPr>
              <w:t>市医保特药，</w:t>
            </w:r>
          </w:p>
          <w:p>
            <w:pPr>
              <w:spacing w:line="320" w:lineRule="exact"/>
              <w:jc w:val="center"/>
              <w:rPr>
                <w:rFonts w:hint="eastAsia" w:ascii="Times New Roman" w:hAnsi="Times New Roman" w:eastAsia="宋体" w:cs="Times New Roman"/>
                <w:color w:val="000000"/>
                <w:kern w:val="0"/>
                <w:sz w:val="18"/>
                <w:szCs w:val="18"/>
                <w:lang w:val="en-US" w:eastAsia="zh-CN" w:bidi="en-US"/>
              </w:rPr>
            </w:pPr>
            <w:r>
              <w:rPr>
                <w:rFonts w:hint="eastAsia" w:ascii="Times New Roman" w:hAnsi="Times New Roman" w:eastAsia="宋体" w:cs="Times New Roman"/>
                <w:color w:val="FF0000"/>
                <w:kern w:val="0"/>
                <w:sz w:val="18"/>
                <w:szCs w:val="18"/>
                <w:lang w:eastAsia="zh-CN" w:bidi="en-US"/>
              </w:rPr>
              <w:t>省医保未按特药管理</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国家谈判</w:t>
            </w:r>
          </w:p>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未续约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64</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拉帕替尼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66.7元（250mg/片）</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限HER2过表达且既往接受过包括蒽环类、紫杉类、曲妥珠单抗治疗的晚期或转移性乳腺癌。</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2018年1月1日至2020年6月30日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国家谈判</w:t>
            </w:r>
          </w:p>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未续约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65</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氟维司群</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2306元（5ml：0.25g/支）</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限芳香化酶抑制剂治疗失败后的晚期、激素受体（ER/PR）阳性乳腺癌治疗。</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2018年1月1日至2020年6月30日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国家谈判</w:t>
            </w:r>
          </w:p>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未续约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66</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重组人干扰素β-1b</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590元（0.3mg/支）</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限常规治疗无效的多发性硬化患者。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2018年1月1日至2020年6月30日</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ascii="Times New Roman" w:hAnsi="Times New Roman" w:eastAsia="Times New Roman" w:cs="Times New Roman"/>
                <w:color w:val="000000"/>
                <w:kern w:val="0"/>
                <w:sz w:val="18"/>
                <w:szCs w:val="18"/>
                <w:lang w:eastAsia="en-US" w:bidi="en-US"/>
              </w:rPr>
              <w:t>国家谈判</w:t>
            </w:r>
          </w:p>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未续约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67</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利妥昔单抗</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限复发或耐药的滤泡性中央型淋巴瘤(国际工作分类B、C和D亚型的B细胞非霍奇金淋巴瘤)，CD20阳性Ⅲ-Ⅳ期滤泡性非霍奇金淋巴瘤，CD20阳性弥漫大B细胞性非霍奇金淋巴瘤；支付不超过8个疗程。</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谈判转乙类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68</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来那度胺</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限曾接受过至少一种疗法的多发性骨髓瘤的成年患者，并满足以下条件：1、每2个疗程需提供治疗有效的证据后方可继续支付；2、由三级医院血液专科或血液专科医院医师处方。</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谈判转乙类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69</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硼替佐米</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限多发性骨髓瘤、复发或难治性套细胞淋巴瘤患者，并满足以下条件：1、每2个疗程需提供治疗有效的证据后方可继续支付；2、由三级医院血液专科或血液专科医院医师处方。</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谈判转乙类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70</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替格瑞洛</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限急性冠脉综合症患者，支付不超过12个月。非急性期限二线用药。</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宋体" w:cs="Times New Roman"/>
                <w:color w:val="FF0000"/>
                <w:kern w:val="0"/>
                <w:sz w:val="18"/>
                <w:szCs w:val="18"/>
                <w:lang w:eastAsia="zh-CN" w:bidi="en-US"/>
              </w:rPr>
            </w:pPr>
            <w:r>
              <w:rPr>
                <w:rFonts w:hint="eastAsia" w:ascii="Times New Roman" w:hAnsi="Times New Roman" w:eastAsia="宋体" w:cs="Times New Roman"/>
                <w:color w:val="FF0000"/>
                <w:kern w:val="0"/>
                <w:sz w:val="18"/>
                <w:szCs w:val="18"/>
                <w:lang w:eastAsia="zh-CN" w:bidi="en-US"/>
              </w:rPr>
              <w:t>市医保特药，</w:t>
            </w:r>
          </w:p>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宋体" w:cs="Times New Roman"/>
                <w:color w:val="FF0000"/>
                <w:kern w:val="0"/>
                <w:sz w:val="18"/>
                <w:szCs w:val="18"/>
                <w:lang w:eastAsia="zh-CN" w:bidi="en-US"/>
              </w:rPr>
              <w:t>省医保未按特药管理</w:t>
            </w:r>
            <w:r>
              <w:rPr>
                <w:rFonts w:hint="eastAsia" w:ascii="Times New Roman" w:hAnsi="Times New Roman" w:eastAsia="Times New Roman" w:cs="Times New Roman"/>
                <w:color w:val="000000"/>
                <w:kern w:val="0"/>
                <w:sz w:val="18"/>
                <w:szCs w:val="18"/>
                <w:lang w:eastAsia="en-US" w:bidi="en-US"/>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谈判转乙类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71</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阿比特龙</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限转移性去势抵抗性前列腺癌、新诊断的高危转移性内分泌治疗敏感性前列腺癌。</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谈判转乙类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72</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重组人血小板生成素</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限实体瘤化疗后所致的严重血小板减少症或特发性血小板减少性紫癜。</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目录乙类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73</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艾曲泊帕乙醇胺</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限既往对糖皮质激素、免疫球蛋白治疗无效的特发性血小板减少症。</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目录乙类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74</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重组人Ⅱ型肿瘤坏死因子受体-抗体融合蛋白</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类风湿关节炎经传统DMARDs治疗3-6个月疾病活动度下降低于50%者；诊断明确的强直性脊柱炎(不含放射学前期中轴性脊柱关节炎)NSAIDs充分治疗3个月疾病活动度下降低于50%者；并需风湿病专科医师处方。</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目录乙类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75</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戈利木单抗</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限诊断明确的类风湿关节炎经传统DMARDs治疗3-6个月疾病活动度下降低于50%者；诊断明确的强直性脊柱炎（不含放射学前期中轴性脊柱关节炎）NSAIDs充分治疗3个月疾病活动度下降低于50%者；并需风湿病专科医师处方。</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目录乙类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76</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托珠单抗</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限全身型幼年特发性关节炎的二线治疗；限诊断明确的 类风湿关节炎经传统 DMARDs 治疗 3-6 个月疾病活动度下 降低于 50%者。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目录乙类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77</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吉非替尼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限EGFR基因敏感突变的晚期非小细胞肺癌。</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目录乙类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78</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伊马替尼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限有慢性髓性白血病诊断并有费城染色体阳性的检验证据的患者；有急性淋巴细胞白血病诊断并有费城染色体阳性的检验证据的儿童患者；难治的或复发的费城染色体阳性的急性淋巴细胞白血病成人患者；胃肠间质瘤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目录乙类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79</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埃克替尼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限EGFR基因敏感突变的晚期非小细胞肺癌。</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目录乙类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80</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达沙替尼</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限对伊马替尼耐药或不耐受的慢性髓细胞白血病患者。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目录乙类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81</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培美曲塞</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限局部晚期或转移性非鳞状细胞型非小细胞肺癌；恶性胸膜间皮瘤。</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目录乙类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000000"/>
                <w:kern w:val="0"/>
                <w:sz w:val="18"/>
                <w:szCs w:val="18"/>
                <w:lang w:eastAsia="en-US" w:bidi="en-US"/>
              </w:rPr>
            </w:pPr>
            <w:r>
              <w:rPr>
                <w:rFonts w:hint="eastAsia" w:ascii="Times New Roman" w:hAnsi="Times New Roman" w:eastAsia="Times New Roman" w:cs="Times New Roman"/>
                <w:color w:val="000000"/>
                <w:kern w:val="0"/>
                <w:sz w:val="18"/>
                <w:szCs w:val="18"/>
                <w:lang w:eastAsia="en-US" w:bidi="en-US"/>
              </w:rPr>
              <w:t>82</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替诺福韦二吡呋酯</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口服常释剂型</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Times New Roman" w:hAnsi="Times New Roman" w:eastAsia="Times New Roman" w:cs="Times New Roman"/>
                <w:color w:val="000000"/>
                <w:kern w:val="0"/>
                <w:sz w:val="18"/>
                <w:szCs w:val="18"/>
                <w:lang w:val="en-US" w:eastAsia="zh-CN" w:bidi="en-US"/>
              </w:rPr>
            </w:pPr>
            <w:r>
              <w:rPr>
                <w:rFonts w:ascii="Times New Roman" w:hAnsi="Times New Roman" w:eastAsia="Times New Roman" w:cs="Times New Roman"/>
                <w:color w:val="000000"/>
                <w:kern w:val="0"/>
                <w:sz w:val="18"/>
                <w:szCs w:val="18"/>
                <w:lang w:eastAsia="en-US" w:bidi="en-US"/>
              </w:rPr>
              <w:t>限有活动性乙型肝炎的明确诊断及检验证据或母婴乙肝传播阻断</w:t>
            </w:r>
            <w:r>
              <w:rPr>
                <w:rFonts w:hint="eastAsia" w:ascii="Times New Roman" w:hAnsi="Times New Roman" w:eastAsia="Times New Roman" w:cs="Times New Roman"/>
                <w:color w:val="000000"/>
                <w:kern w:val="0"/>
                <w:sz w:val="18"/>
                <w:szCs w:val="18"/>
                <w:lang w:eastAsia="en-US" w:bidi="en-US"/>
              </w:rPr>
              <w:t>。</w:t>
            </w:r>
          </w:p>
        </w:tc>
        <w:tc>
          <w:tcPr>
            <w:tcW w:w="1836"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Times New Roman" w:hAnsi="Times New Roman" w:eastAsia="宋体" w:cs="Times New Roman"/>
                <w:color w:val="FF0000"/>
                <w:kern w:val="0"/>
                <w:sz w:val="18"/>
                <w:szCs w:val="18"/>
                <w:lang w:val="en-US" w:eastAsia="zh-CN" w:bidi="en-US"/>
              </w:rPr>
            </w:pPr>
            <w:r>
              <w:rPr>
                <w:rFonts w:hint="eastAsia" w:ascii="Times New Roman" w:hAnsi="Times New Roman" w:eastAsia="宋体" w:cs="Times New Roman"/>
                <w:color w:val="FF0000"/>
                <w:kern w:val="0"/>
                <w:sz w:val="18"/>
                <w:szCs w:val="18"/>
                <w:lang w:val="en-US" w:eastAsia="zh-CN" w:bidi="en-US"/>
              </w:rPr>
              <w:t>市医保特药，</w:t>
            </w:r>
          </w:p>
          <w:p>
            <w:pPr>
              <w:spacing w:line="320" w:lineRule="exact"/>
              <w:jc w:val="center"/>
              <w:rPr>
                <w:rFonts w:hint="eastAsia" w:ascii="Times New Roman" w:hAnsi="Times New Roman" w:eastAsia="宋体" w:cs="Times New Roman"/>
                <w:color w:val="000000"/>
                <w:kern w:val="0"/>
                <w:sz w:val="18"/>
                <w:szCs w:val="18"/>
                <w:lang w:val="en-US" w:eastAsia="zh-CN" w:bidi="en-US"/>
              </w:rPr>
            </w:pPr>
            <w:r>
              <w:rPr>
                <w:rFonts w:hint="eastAsia" w:ascii="Times New Roman" w:hAnsi="Times New Roman" w:eastAsia="宋体" w:cs="Times New Roman"/>
                <w:color w:val="FF0000"/>
                <w:kern w:val="0"/>
                <w:sz w:val="18"/>
                <w:szCs w:val="18"/>
                <w:lang w:val="en-US" w:eastAsia="zh-CN" w:bidi="en-US"/>
              </w:rPr>
              <w:t>省医保未按特药管理</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000000"/>
                <w:kern w:val="0"/>
                <w:sz w:val="18"/>
                <w:szCs w:val="18"/>
                <w:lang w:val="en-US" w:eastAsia="zh-CN" w:bidi="en-US"/>
              </w:rPr>
            </w:pPr>
            <w:r>
              <w:rPr>
                <w:rFonts w:hint="eastAsia" w:ascii="Times New Roman" w:hAnsi="Times New Roman" w:eastAsia="Times New Roman" w:cs="Times New Roman"/>
                <w:color w:val="000000"/>
                <w:kern w:val="0"/>
                <w:sz w:val="18"/>
                <w:szCs w:val="18"/>
                <w:lang w:eastAsia="en-US" w:bidi="en-US"/>
              </w:rPr>
              <w:t>目录乙类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auto"/>
                <w:kern w:val="0"/>
                <w:sz w:val="18"/>
                <w:szCs w:val="18"/>
                <w:lang w:val="en-US" w:eastAsia="zh-CN" w:bidi="en-US"/>
              </w:rPr>
            </w:pPr>
            <w:r>
              <w:rPr>
                <w:rFonts w:hint="eastAsia" w:ascii="Times New Roman" w:hAnsi="Times New Roman" w:eastAsia="宋体" w:cs="Times New Roman"/>
                <w:color w:val="auto"/>
                <w:kern w:val="0"/>
                <w:sz w:val="18"/>
                <w:szCs w:val="18"/>
                <w:lang w:val="en-US" w:eastAsia="zh-CN" w:bidi="en-US"/>
              </w:rPr>
              <w:t>83</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auto"/>
                <w:kern w:val="0"/>
                <w:sz w:val="18"/>
                <w:szCs w:val="18"/>
                <w:lang w:val="en-US" w:eastAsia="en-US" w:bidi="en-US"/>
              </w:rPr>
            </w:pPr>
            <w:r>
              <w:rPr>
                <w:rFonts w:ascii="Times New Roman" w:hAnsi="Times New Roman" w:eastAsia="Times New Roman" w:cs="Times New Roman"/>
                <w:color w:val="auto"/>
                <w:kern w:val="0"/>
                <w:sz w:val="18"/>
                <w:szCs w:val="18"/>
                <w:lang w:eastAsia="en-US" w:bidi="en-US"/>
              </w:rPr>
              <w:t>食道平散</w:t>
            </w:r>
          </w:p>
        </w:tc>
        <w:tc>
          <w:tcPr>
            <w:tcW w:w="1403" w:type="dxa"/>
            <w:tcBorders>
              <w:top w:val="single" w:color="auto" w:sz="4" w:space="0"/>
              <w:left w:val="single" w:color="auto" w:sz="4" w:space="0"/>
              <w:bottom w:val="single" w:color="auto" w:sz="4" w:space="0"/>
              <w:right w:val="single" w:color="auto" w:sz="4" w:space="0"/>
            </w:tcBorders>
            <w:noWrap w:val="0"/>
            <w:vAlign w:val="bottom"/>
          </w:tcPr>
          <w:p>
            <w:pPr>
              <w:spacing w:line="320" w:lineRule="exact"/>
              <w:jc w:val="center"/>
              <w:rPr>
                <w:rFonts w:hint="eastAsia" w:ascii="Times New Roman" w:hAnsi="Times New Roman" w:eastAsia="Times New Roman" w:cs="Times New Roman"/>
                <w:color w:val="auto"/>
                <w:kern w:val="0"/>
                <w:sz w:val="18"/>
                <w:szCs w:val="18"/>
                <w:lang w:val="en-US" w:eastAsia="en-US" w:bidi="en-US"/>
              </w:rPr>
            </w:pPr>
            <w:r>
              <w:rPr>
                <w:rFonts w:ascii="Times New Roman" w:hAnsi="Times New Roman" w:eastAsia="Times New Roman" w:cs="Times New Roman"/>
                <w:color w:val="auto"/>
                <w:kern w:val="0"/>
                <w:sz w:val="18"/>
                <w:szCs w:val="18"/>
                <w:lang w:eastAsia="en-US" w:bidi="en-US"/>
              </w:rPr>
              <w:t>　</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auto"/>
                <w:kern w:val="0"/>
                <w:sz w:val="18"/>
                <w:szCs w:val="18"/>
                <w:lang w:val="en-US" w:eastAsia="zh-CN" w:bidi="en-US"/>
              </w:rPr>
            </w:pPr>
            <w:r>
              <w:rPr>
                <w:rFonts w:ascii="Times New Roman" w:hAnsi="Times New Roman" w:eastAsia="Times New Roman" w:cs="Times New Roman"/>
                <w:color w:val="auto"/>
                <w:kern w:val="0"/>
                <w:sz w:val="18"/>
                <w:szCs w:val="18"/>
                <w:lang w:eastAsia="en-US" w:bidi="en-US"/>
              </w:rPr>
              <w:t>163元(10g/瓶)</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auto"/>
                <w:kern w:val="0"/>
                <w:sz w:val="18"/>
                <w:szCs w:val="18"/>
                <w:lang w:val="en-US" w:eastAsia="en-US" w:bidi="en-US"/>
              </w:rPr>
            </w:pPr>
            <w:r>
              <w:rPr>
                <w:rFonts w:ascii="Times New Roman" w:hAnsi="Times New Roman" w:eastAsia="Times New Roman" w:cs="Times New Roman"/>
                <w:color w:val="auto"/>
                <w:kern w:val="0"/>
                <w:sz w:val="18"/>
                <w:szCs w:val="18"/>
                <w:lang w:eastAsia="en-US" w:bidi="en-US"/>
              </w:rPr>
              <w:t>限中晚期食道癌所致食道狭窄梗阻的患者。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FF0000"/>
                <w:kern w:val="0"/>
                <w:sz w:val="18"/>
                <w:szCs w:val="18"/>
                <w:lang w:val="en-US" w:eastAsia="zh-CN" w:bidi="en-US"/>
              </w:rPr>
            </w:pPr>
            <w:r>
              <w:rPr>
                <w:rFonts w:hint="eastAsia" w:ascii="Times New Roman" w:hAnsi="Times New Roman" w:eastAsia="Times New Roman" w:cs="Times New Roman"/>
                <w:color w:val="FF0000"/>
                <w:kern w:val="0"/>
                <w:sz w:val="18"/>
                <w:szCs w:val="18"/>
                <w:lang w:val="en-US" w:eastAsia="zh-CN" w:bidi="en-US"/>
              </w:rPr>
              <w:t>省医保特药，</w:t>
            </w:r>
          </w:p>
          <w:p>
            <w:pPr>
              <w:spacing w:line="320" w:lineRule="exact"/>
              <w:jc w:val="center"/>
              <w:rPr>
                <w:rFonts w:ascii="Times New Roman" w:hAnsi="Times New Roman" w:eastAsia="Times New Roman" w:cs="Times New Roman"/>
                <w:color w:val="FF0000"/>
                <w:kern w:val="0"/>
                <w:sz w:val="18"/>
                <w:szCs w:val="18"/>
                <w:lang w:val="en-US" w:eastAsia="zh-CN" w:bidi="en-US"/>
              </w:rPr>
            </w:pPr>
            <w:r>
              <w:rPr>
                <w:rFonts w:hint="eastAsia" w:ascii="Times New Roman" w:hAnsi="Times New Roman" w:eastAsia="Times New Roman" w:cs="Times New Roman"/>
                <w:color w:val="FF0000"/>
                <w:kern w:val="0"/>
                <w:sz w:val="18"/>
                <w:szCs w:val="18"/>
                <w:lang w:val="en-US" w:eastAsia="zh-CN" w:bidi="en-US"/>
              </w:rPr>
              <w:t>市医保未按特药管理</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FF0000"/>
                <w:kern w:val="0"/>
                <w:sz w:val="18"/>
                <w:szCs w:val="18"/>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auto"/>
                <w:kern w:val="0"/>
                <w:sz w:val="18"/>
                <w:szCs w:val="18"/>
                <w:lang w:val="en-US" w:eastAsia="zh-CN" w:bidi="en-US"/>
              </w:rPr>
            </w:pPr>
            <w:r>
              <w:rPr>
                <w:rFonts w:hint="eastAsia" w:ascii="Times New Roman" w:hAnsi="Times New Roman" w:eastAsia="宋体" w:cs="Times New Roman"/>
                <w:color w:val="auto"/>
                <w:kern w:val="0"/>
                <w:sz w:val="18"/>
                <w:szCs w:val="18"/>
                <w:lang w:val="en-US" w:eastAsia="zh-CN" w:bidi="en-US"/>
              </w:rPr>
              <w:t>84</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auto"/>
                <w:kern w:val="0"/>
                <w:sz w:val="18"/>
                <w:szCs w:val="18"/>
                <w:lang w:val="en-US" w:eastAsia="en-US" w:bidi="en-US"/>
              </w:rPr>
            </w:pPr>
            <w:r>
              <w:rPr>
                <w:rFonts w:hint="eastAsia" w:ascii="Times New Roman" w:hAnsi="Times New Roman" w:eastAsia="Times New Roman" w:cs="Times New Roman"/>
                <w:color w:val="auto"/>
                <w:kern w:val="0"/>
                <w:sz w:val="18"/>
                <w:szCs w:val="18"/>
                <w:lang w:eastAsia="en-US" w:bidi="en-US"/>
              </w:rPr>
              <w:t>人凝血因子Ⅷ</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auto"/>
                <w:kern w:val="0"/>
                <w:sz w:val="18"/>
                <w:szCs w:val="18"/>
                <w:lang w:val="en-US" w:eastAsia="en-US" w:bidi="en-US"/>
              </w:rPr>
            </w:pPr>
            <w:r>
              <w:rPr>
                <w:rFonts w:hint="eastAsia" w:ascii="Times New Roman" w:hAnsi="Times New Roman" w:eastAsia="Times New Roman" w:cs="Times New Roman"/>
                <w:color w:val="auto"/>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auto"/>
                <w:kern w:val="0"/>
                <w:sz w:val="18"/>
                <w:szCs w:val="18"/>
                <w:lang w:val="en-US" w:eastAsia="zh-CN" w:bidi="en-US"/>
              </w:rPr>
            </w:pPr>
            <w:r>
              <w:rPr>
                <w:rFonts w:hint="eastAsia" w:ascii="Times New Roman" w:hAnsi="Times New Roman" w:eastAsia="Times New Roman" w:cs="Times New Roman"/>
                <w:color w:val="auto"/>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auto"/>
                <w:kern w:val="0"/>
                <w:sz w:val="18"/>
                <w:szCs w:val="18"/>
                <w:lang w:val="en-US" w:eastAsia="en-US" w:bidi="en-US"/>
              </w:rPr>
            </w:pPr>
            <w:r>
              <w:rPr>
                <w:rFonts w:hint="eastAsia" w:ascii="Times New Roman" w:hAnsi="Times New Roman" w:eastAsia="Times New Roman" w:cs="Times New Roman"/>
                <w:color w:val="auto"/>
                <w:kern w:val="0"/>
                <w:sz w:val="18"/>
                <w:szCs w:val="18"/>
                <w:lang w:eastAsia="en-US" w:bidi="en-US"/>
              </w:rPr>
              <w:t>　</w:t>
            </w:r>
          </w:p>
        </w:tc>
        <w:tc>
          <w:tcPr>
            <w:tcW w:w="1836"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Times New Roman" w:hAnsi="Times New Roman" w:eastAsia="Times New Roman" w:cs="Times New Roman"/>
                <w:color w:val="FF0000"/>
                <w:kern w:val="0"/>
                <w:sz w:val="18"/>
                <w:szCs w:val="18"/>
                <w:lang w:val="en-US" w:eastAsia="zh-CN" w:bidi="en-US"/>
              </w:rPr>
            </w:pPr>
            <w:r>
              <w:rPr>
                <w:rFonts w:hint="eastAsia" w:ascii="Times New Roman" w:hAnsi="Times New Roman" w:eastAsia="Times New Roman" w:cs="Times New Roman"/>
                <w:color w:val="FF0000"/>
                <w:kern w:val="0"/>
                <w:sz w:val="18"/>
                <w:szCs w:val="18"/>
                <w:lang w:val="en-US" w:eastAsia="zh-CN" w:bidi="en-US"/>
              </w:rPr>
              <w:t>省医保特药，</w:t>
            </w:r>
          </w:p>
          <w:p>
            <w:pPr>
              <w:spacing w:line="320" w:lineRule="exact"/>
              <w:jc w:val="center"/>
              <w:rPr>
                <w:rFonts w:ascii="Times New Roman" w:hAnsi="Times New Roman" w:eastAsia="Times New Roman" w:cs="Times New Roman"/>
                <w:color w:val="FF0000"/>
                <w:kern w:val="0"/>
                <w:sz w:val="18"/>
                <w:szCs w:val="18"/>
                <w:lang w:val="en-US" w:eastAsia="zh-CN" w:bidi="en-US"/>
              </w:rPr>
            </w:pPr>
            <w:r>
              <w:rPr>
                <w:rFonts w:hint="eastAsia" w:ascii="Times New Roman" w:hAnsi="Times New Roman" w:eastAsia="Times New Roman" w:cs="Times New Roman"/>
                <w:color w:val="FF0000"/>
                <w:kern w:val="0"/>
                <w:sz w:val="18"/>
                <w:szCs w:val="18"/>
                <w:lang w:val="en-US" w:eastAsia="zh-CN" w:bidi="en-US"/>
              </w:rPr>
              <w:t>市医保未按特药管理</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FF0000"/>
                <w:kern w:val="0"/>
                <w:sz w:val="18"/>
                <w:szCs w:val="18"/>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auto"/>
                <w:kern w:val="0"/>
                <w:sz w:val="18"/>
                <w:szCs w:val="18"/>
                <w:lang w:val="en-US" w:eastAsia="zh-CN" w:bidi="en-US"/>
              </w:rPr>
            </w:pPr>
            <w:r>
              <w:rPr>
                <w:rFonts w:hint="eastAsia" w:ascii="Times New Roman" w:hAnsi="Times New Roman" w:eastAsia="宋体" w:cs="Times New Roman"/>
                <w:color w:val="auto"/>
                <w:kern w:val="0"/>
                <w:sz w:val="18"/>
                <w:szCs w:val="18"/>
                <w:lang w:val="en-US" w:eastAsia="zh-CN" w:bidi="en-US"/>
              </w:rPr>
              <w:t>85</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auto"/>
                <w:kern w:val="0"/>
                <w:sz w:val="18"/>
                <w:szCs w:val="18"/>
                <w:lang w:val="en-US" w:eastAsia="en-US" w:bidi="en-US"/>
              </w:rPr>
            </w:pPr>
            <w:r>
              <w:rPr>
                <w:rFonts w:hint="eastAsia" w:ascii="Times New Roman" w:hAnsi="Times New Roman" w:eastAsia="Times New Roman" w:cs="Times New Roman"/>
                <w:color w:val="auto"/>
                <w:kern w:val="0"/>
                <w:sz w:val="18"/>
                <w:szCs w:val="18"/>
                <w:lang w:eastAsia="en-US" w:bidi="en-US"/>
              </w:rPr>
              <w:t>重组人凝血因子Ⅷ</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auto"/>
                <w:kern w:val="0"/>
                <w:sz w:val="18"/>
                <w:szCs w:val="18"/>
                <w:lang w:val="en-US" w:eastAsia="en-US" w:bidi="en-US"/>
              </w:rPr>
            </w:pPr>
            <w:r>
              <w:rPr>
                <w:rFonts w:hint="eastAsia" w:ascii="Times New Roman" w:hAnsi="Times New Roman" w:eastAsia="Times New Roman" w:cs="Times New Roman"/>
                <w:color w:val="auto"/>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auto"/>
                <w:kern w:val="0"/>
                <w:sz w:val="18"/>
                <w:szCs w:val="18"/>
                <w:lang w:val="en-US" w:eastAsia="zh-CN" w:bidi="en-US"/>
              </w:rPr>
            </w:pPr>
            <w:r>
              <w:rPr>
                <w:rFonts w:hint="eastAsia" w:ascii="Times New Roman" w:hAnsi="Times New Roman" w:eastAsia="Times New Roman" w:cs="Times New Roman"/>
                <w:color w:val="auto"/>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auto"/>
                <w:kern w:val="0"/>
                <w:sz w:val="18"/>
                <w:szCs w:val="18"/>
                <w:lang w:val="en-US" w:eastAsia="en-US" w:bidi="en-US"/>
              </w:rPr>
            </w:pPr>
            <w:r>
              <w:rPr>
                <w:rFonts w:hint="eastAsia" w:ascii="Times New Roman" w:hAnsi="Times New Roman" w:eastAsia="Times New Roman" w:cs="Times New Roman"/>
                <w:color w:val="auto"/>
                <w:kern w:val="0"/>
                <w:sz w:val="18"/>
                <w:szCs w:val="18"/>
                <w:lang w:eastAsia="en-US" w:bidi="en-US"/>
              </w:rPr>
              <w:t>限儿童甲（A）型血友病；成人甲（A）型血友病限出血时使用。</w:t>
            </w:r>
          </w:p>
        </w:tc>
        <w:tc>
          <w:tcPr>
            <w:tcW w:w="1836"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Times New Roman" w:hAnsi="Times New Roman" w:eastAsia="Times New Roman" w:cs="Times New Roman"/>
                <w:color w:val="FF0000"/>
                <w:kern w:val="0"/>
                <w:sz w:val="18"/>
                <w:szCs w:val="18"/>
                <w:lang w:val="en-US" w:eastAsia="zh-CN" w:bidi="en-US"/>
              </w:rPr>
            </w:pPr>
            <w:r>
              <w:rPr>
                <w:rFonts w:hint="eastAsia" w:ascii="Times New Roman" w:hAnsi="Times New Roman" w:eastAsia="Times New Roman" w:cs="Times New Roman"/>
                <w:color w:val="FF0000"/>
                <w:kern w:val="0"/>
                <w:sz w:val="18"/>
                <w:szCs w:val="18"/>
                <w:lang w:val="en-US" w:eastAsia="zh-CN" w:bidi="en-US"/>
              </w:rPr>
              <w:t>省医保特药，</w:t>
            </w:r>
          </w:p>
          <w:p>
            <w:pPr>
              <w:spacing w:line="320" w:lineRule="exact"/>
              <w:jc w:val="center"/>
              <w:rPr>
                <w:rFonts w:ascii="Times New Roman" w:hAnsi="Times New Roman" w:eastAsia="Times New Roman" w:cs="Times New Roman"/>
                <w:color w:val="FF0000"/>
                <w:kern w:val="0"/>
                <w:sz w:val="18"/>
                <w:szCs w:val="18"/>
                <w:lang w:val="en-US" w:eastAsia="zh-CN" w:bidi="en-US"/>
              </w:rPr>
            </w:pPr>
            <w:r>
              <w:rPr>
                <w:rFonts w:hint="eastAsia" w:ascii="Times New Roman" w:hAnsi="Times New Roman" w:eastAsia="Times New Roman" w:cs="Times New Roman"/>
                <w:color w:val="FF0000"/>
                <w:kern w:val="0"/>
                <w:sz w:val="18"/>
                <w:szCs w:val="18"/>
                <w:lang w:val="en-US" w:eastAsia="zh-CN" w:bidi="en-US"/>
              </w:rPr>
              <w:t>市医保未按特药管理</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FF0000"/>
                <w:kern w:val="0"/>
                <w:sz w:val="18"/>
                <w:szCs w:val="18"/>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auto"/>
                <w:kern w:val="0"/>
                <w:sz w:val="18"/>
                <w:szCs w:val="18"/>
                <w:lang w:val="en-US" w:eastAsia="zh-CN" w:bidi="en-US"/>
              </w:rPr>
            </w:pPr>
            <w:r>
              <w:rPr>
                <w:rFonts w:hint="eastAsia" w:ascii="Times New Roman" w:hAnsi="Times New Roman" w:eastAsia="宋体" w:cs="Times New Roman"/>
                <w:color w:val="auto"/>
                <w:kern w:val="0"/>
                <w:sz w:val="18"/>
                <w:szCs w:val="18"/>
                <w:lang w:val="en-US" w:eastAsia="zh-CN" w:bidi="en-US"/>
              </w:rPr>
              <w:t>86</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auto"/>
                <w:kern w:val="0"/>
                <w:sz w:val="18"/>
                <w:szCs w:val="18"/>
                <w:lang w:val="en-US" w:eastAsia="en-US" w:bidi="en-US"/>
              </w:rPr>
            </w:pPr>
            <w:r>
              <w:rPr>
                <w:rFonts w:hint="eastAsia" w:ascii="Times New Roman" w:hAnsi="Times New Roman" w:eastAsia="Times New Roman" w:cs="Times New Roman"/>
                <w:color w:val="auto"/>
                <w:kern w:val="0"/>
                <w:sz w:val="18"/>
                <w:szCs w:val="18"/>
                <w:lang w:eastAsia="en-US" w:bidi="en-US"/>
              </w:rPr>
              <w:t>重组人凝血因子Ⅸ</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auto"/>
                <w:kern w:val="0"/>
                <w:sz w:val="18"/>
                <w:szCs w:val="18"/>
                <w:lang w:val="en-US" w:eastAsia="en-US" w:bidi="en-US"/>
              </w:rPr>
            </w:pPr>
            <w:r>
              <w:rPr>
                <w:rFonts w:hint="eastAsia" w:ascii="Times New Roman" w:hAnsi="Times New Roman" w:eastAsia="Times New Roman" w:cs="Times New Roman"/>
                <w:color w:val="auto"/>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Times New Roman" w:cs="Times New Roman"/>
                <w:color w:val="auto"/>
                <w:kern w:val="0"/>
                <w:sz w:val="18"/>
                <w:szCs w:val="18"/>
                <w:lang w:val="en-US" w:eastAsia="zh-CN" w:bidi="en-US"/>
              </w:rPr>
            </w:pPr>
            <w:r>
              <w:rPr>
                <w:rFonts w:hint="eastAsia" w:ascii="Times New Roman" w:hAnsi="Times New Roman" w:eastAsia="Times New Roman" w:cs="Times New Roman"/>
                <w:color w:val="auto"/>
                <w:kern w:val="0"/>
                <w:sz w:val="18"/>
                <w:szCs w:val="18"/>
                <w:lang w:eastAsia="en-US" w:bidi="en-US"/>
              </w:rPr>
              <w:t>　</w:t>
            </w: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ascii="Times New Roman" w:hAnsi="Times New Roman" w:eastAsia="Times New Roman" w:cs="Times New Roman"/>
                <w:color w:val="auto"/>
                <w:kern w:val="0"/>
                <w:sz w:val="18"/>
                <w:szCs w:val="18"/>
                <w:lang w:val="en-US" w:eastAsia="en-US" w:bidi="en-US"/>
              </w:rPr>
            </w:pPr>
            <w:r>
              <w:rPr>
                <w:rFonts w:hint="eastAsia" w:ascii="Times New Roman" w:hAnsi="Times New Roman" w:eastAsia="Times New Roman" w:cs="Times New Roman"/>
                <w:color w:val="auto"/>
                <w:kern w:val="0"/>
                <w:sz w:val="18"/>
                <w:szCs w:val="18"/>
                <w:lang w:eastAsia="en-US" w:bidi="en-US"/>
              </w:rPr>
              <w:t>限儿童乙（B）型血友病；成人乙（B）型血友病限出血时使用。</w:t>
            </w:r>
          </w:p>
        </w:tc>
        <w:tc>
          <w:tcPr>
            <w:tcW w:w="1836"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Times New Roman" w:hAnsi="Times New Roman" w:eastAsia="Times New Roman" w:cs="Times New Roman"/>
                <w:color w:val="FF0000"/>
                <w:kern w:val="0"/>
                <w:sz w:val="18"/>
                <w:szCs w:val="18"/>
                <w:lang w:val="en-US" w:eastAsia="zh-CN" w:bidi="en-US"/>
              </w:rPr>
            </w:pPr>
            <w:r>
              <w:rPr>
                <w:rFonts w:hint="eastAsia" w:ascii="Times New Roman" w:hAnsi="Times New Roman" w:eastAsia="Times New Roman" w:cs="Times New Roman"/>
                <w:color w:val="FF0000"/>
                <w:kern w:val="0"/>
                <w:sz w:val="18"/>
                <w:szCs w:val="18"/>
                <w:lang w:val="en-US" w:eastAsia="zh-CN" w:bidi="en-US"/>
              </w:rPr>
              <w:t>省医保特药，</w:t>
            </w:r>
          </w:p>
          <w:p>
            <w:pPr>
              <w:spacing w:line="320" w:lineRule="exact"/>
              <w:jc w:val="center"/>
              <w:rPr>
                <w:rFonts w:ascii="Times New Roman" w:hAnsi="Times New Roman" w:eastAsia="Times New Roman" w:cs="Times New Roman"/>
                <w:color w:val="FF0000"/>
                <w:kern w:val="0"/>
                <w:sz w:val="18"/>
                <w:szCs w:val="18"/>
                <w:lang w:val="en-US" w:eastAsia="zh-CN" w:bidi="en-US"/>
              </w:rPr>
            </w:pPr>
            <w:r>
              <w:rPr>
                <w:rFonts w:hint="eastAsia" w:ascii="Times New Roman" w:hAnsi="Times New Roman" w:eastAsia="Times New Roman" w:cs="Times New Roman"/>
                <w:color w:val="FF0000"/>
                <w:kern w:val="0"/>
                <w:sz w:val="18"/>
                <w:szCs w:val="18"/>
                <w:lang w:val="en-US" w:eastAsia="zh-CN" w:bidi="en-US"/>
              </w:rPr>
              <w:t>市医保未按特药管理</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FF0000"/>
                <w:kern w:val="0"/>
                <w:sz w:val="18"/>
                <w:szCs w:val="18"/>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color w:val="auto"/>
                <w:kern w:val="0"/>
                <w:sz w:val="18"/>
                <w:szCs w:val="18"/>
                <w:lang w:val="en-US" w:eastAsia="zh-CN" w:bidi="en-US"/>
              </w:rPr>
            </w:pPr>
            <w:r>
              <w:rPr>
                <w:rFonts w:hint="eastAsia" w:ascii="Times New Roman" w:hAnsi="Times New Roman" w:eastAsia="宋体" w:cs="Times New Roman"/>
                <w:color w:val="auto"/>
                <w:kern w:val="0"/>
                <w:sz w:val="18"/>
                <w:szCs w:val="18"/>
                <w:lang w:val="en-US" w:eastAsia="zh-CN" w:bidi="en-US"/>
              </w:rPr>
              <w:t>87</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宋体" w:cs="Times New Roman"/>
                <w:color w:val="auto"/>
                <w:kern w:val="0"/>
                <w:sz w:val="18"/>
                <w:szCs w:val="18"/>
                <w:lang w:val="en-US" w:eastAsia="zh-CN" w:bidi="en-US"/>
              </w:rPr>
            </w:pPr>
            <w:r>
              <w:rPr>
                <w:rFonts w:hint="eastAsia" w:ascii="Times New Roman" w:hAnsi="Times New Roman" w:eastAsia="Times New Roman" w:cs="Times New Roman"/>
                <w:color w:val="auto"/>
                <w:kern w:val="0"/>
                <w:sz w:val="18"/>
                <w:szCs w:val="18"/>
                <w:lang w:eastAsia="en-US" w:bidi="en-US"/>
              </w:rPr>
              <w:t>重组人凝血因子</w:t>
            </w:r>
            <w:r>
              <w:rPr>
                <w:rFonts w:hint="default" w:ascii="Times New Roman" w:hAnsi="Times New Roman" w:eastAsia="Times New Roman" w:cs="Times New Roman"/>
                <w:color w:val="auto"/>
                <w:kern w:val="0"/>
                <w:sz w:val="18"/>
                <w:szCs w:val="18"/>
                <w:lang w:eastAsia="en-US" w:bidi="en-US"/>
              </w:rPr>
              <w:t>VII</w:t>
            </w:r>
            <w:r>
              <w:rPr>
                <w:rFonts w:hint="eastAsia" w:ascii="Times New Roman" w:hAnsi="Times New Roman" w:eastAsia="宋体" w:cs="Times New Roman"/>
                <w:color w:val="auto"/>
                <w:kern w:val="0"/>
                <w:sz w:val="18"/>
                <w:szCs w:val="18"/>
                <w:lang w:val="en-US" w:eastAsia="zh-CN" w:bidi="en-US"/>
              </w:rPr>
              <w:t>a</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auto"/>
                <w:kern w:val="0"/>
                <w:sz w:val="18"/>
                <w:szCs w:val="18"/>
                <w:lang w:eastAsia="en-US" w:bidi="en-US"/>
              </w:rPr>
            </w:pPr>
            <w:r>
              <w:rPr>
                <w:rFonts w:hint="eastAsia" w:ascii="Times New Roman" w:hAnsi="Times New Roman" w:eastAsia="Times New Roman" w:cs="Times New Roman"/>
                <w:color w:val="auto"/>
                <w:kern w:val="0"/>
                <w:sz w:val="18"/>
                <w:szCs w:val="18"/>
                <w:lang w:eastAsia="en-US" w:bidi="en-US"/>
              </w:rPr>
              <w:t>注射剂</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auto"/>
                <w:kern w:val="0"/>
                <w:sz w:val="18"/>
                <w:szCs w:val="18"/>
                <w:lang w:eastAsia="en-US" w:bidi="en-US"/>
              </w:rPr>
            </w:pPr>
          </w:p>
        </w:tc>
        <w:tc>
          <w:tcPr>
            <w:tcW w:w="673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宋体" w:hAnsi="宋体" w:eastAsia="宋体" w:cs="宋体"/>
                <w:color w:val="auto"/>
                <w:kern w:val="0"/>
                <w:sz w:val="18"/>
                <w:szCs w:val="18"/>
                <w:lang w:val="en-US" w:eastAsia="zh-CN" w:bidi="en-US"/>
              </w:rPr>
            </w:pPr>
            <w:r>
              <w:rPr>
                <w:rFonts w:hint="eastAsia" w:ascii="Times New Roman" w:hAnsi="Times New Roman" w:eastAsia="宋体" w:cs="Times New Roman"/>
                <w:color w:val="auto"/>
                <w:kern w:val="0"/>
                <w:sz w:val="18"/>
                <w:szCs w:val="18"/>
                <w:lang w:eastAsia="zh-CN" w:bidi="en-US"/>
              </w:rPr>
              <w:t>限以下情况方可支付：</w:t>
            </w:r>
            <w:r>
              <w:rPr>
                <w:rFonts w:hint="eastAsia" w:ascii="Times New Roman" w:hAnsi="Times New Roman" w:eastAsia="宋体" w:cs="Times New Roman"/>
                <w:color w:val="auto"/>
                <w:kern w:val="0"/>
                <w:sz w:val="18"/>
                <w:szCs w:val="18"/>
                <w:lang w:val="en-US" w:eastAsia="zh-CN" w:bidi="en-US"/>
              </w:rPr>
              <w:t>1.凝血因子</w:t>
            </w:r>
            <w:r>
              <w:rPr>
                <w:rFonts w:hint="eastAsia" w:ascii="Times New Roman" w:hAnsi="Times New Roman" w:eastAsia="Times New Roman" w:cs="Times New Roman"/>
                <w:color w:val="auto"/>
                <w:kern w:val="0"/>
                <w:sz w:val="18"/>
                <w:szCs w:val="18"/>
                <w:lang w:eastAsia="en-US" w:bidi="en-US"/>
              </w:rPr>
              <w:t>Ⅷ</w:t>
            </w:r>
            <w:r>
              <w:rPr>
                <w:rFonts w:hint="eastAsia" w:ascii="Times New Roman" w:hAnsi="Times New Roman" w:eastAsia="宋体" w:cs="Times New Roman"/>
                <w:color w:val="auto"/>
                <w:kern w:val="0"/>
                <w:sz w:val="18"/>
                <w:szCs w:val="18"/>
                <w:lang w:eastAsia="zh-CN" w:bidi="en-US"/>
              </w:rPr>
              <w:t>或</w:t>
            </w:r>
            <w:r>
              <w:rPr>
                <w:rFonts w:hint="eastAsia" w:ascii="Times New Roman" w:hAnsi="Times New Roman" w:eastAsia="Times New Roman" w:cs="Times New Roman"/>
                <w:color w:val="auto"/>
                <w:kern w:val="0"/>
                <w:sz w:val="18"/>
                <w:szCs w:val="18"/>
                <w:lang w:eastAsia="en-US" w:bidi="en-US"/>
              </w:rPr>
              <w:t>Ⅸ</w:t>
            </w:r>
            <w:r>
              <w:rPr>
                <w:rFonts w:hint="eastAsia" w:ascii="Times New Roman" w:hAnsi="Times New Roman" w:eastAsia="宋体" w:cs="Times New Roman"/>
                <w:color w:val="auto"/>
                <w:kern w:val="0"/>
                <w:sz w:val="18"/>
                <w:szCs w:val="18"/>
                <w:lang w:eastAsia="zh-CN" w:bidi="en-US"/>
              </w:rPr>
              <w:t>的抑制物</w:t>
            </w:r>
            <w:r>
              <w:rPr>
                <w:rFonts w:hint="eastAsia" w:ascii="宋体" w:hAnsi="宋体" w:eastAsia="宋体" w:cs="宋体"/>
                <w:color w:val="auto"/>
                <w:kern w:val="0"/>
                <w:sz w:val="18"/>
                <w:szCs w:val="18"/>
                <w:lang w:eastAsia="zh-CN" w:bidi="en-US"/>
              </w:rPr>
              <w:t>&gt;</w:t>
            </w:r>
            <w:r>
              <w:rPr>
                <w:rFonts w:hint="eastAsia" w:ascii="宋体" w:hAnsi="宋体" w:eastAsia="宋体" w:cs="宋体"/>
                <w:color w:val="auto"/>
                <w:kern w:val="0"/>
                <w:sz w:val="18"/>
                <w:szCs w:val="18"/>
                <w:lang w:val="en-US" w:eastAsia="zh-CN" w:bidi="en-US"/>
              </w:rPr>
              <w:t>5BU的先天性血友病患者。2.获得性血友病患者。3.先天性FV</w:t>
            </w:r>
            <w:r>
              <w:rPr>
                <w:rFonts w:hint="default" w:ascii="Times New Roman" w:hAnsi="Times New Roman" w:eastAsia="Times New Roman" w:cs="Times New Roman"/>
                <w:color w:val="auto"/>
                <w:kern w:val="0"/>
                <w:sz w:val="18"/>
                <w:szCs w:val="18"/>
                <w:lang w:eastAsia="en-US" w:bidi="en-US"/>
              </w:rPr>
              <w:t>II</w:t>
            </w:r>
            <w:r>
              <w:rPr>
                <w:rFonts w:hint="eastAsia" w:ascii="Times New Roman" w:hAnsi="Times New Roman" w:eastAsia="宋体" w:cs="Times New Roman"/>
                <w:color w:val="auto"/>
                <w:kern w:val="0"/>
                <w:sz w:val="18"/>
                <w:szCs w:val="18"/>
                <w:lang w:eastAsia="zh-CN" w:bidi="en-US"/>
              </w:rPr>
              <w:t>缺乏症患者。</w:t>
            </w:r>
            <w:r>
              <w:rPr>
                <w:rFonts w:hint="eastAsia" w:ascii="Times New Roman" w:hAnsi="Times New Roman" w:eastAsia="宋体" w:cs="Times New Roman"/>
                <w:color w:val="auto"/>
                <w:kern w:val="0"/>
                <w:sz w:val="18"/>
                <w:szCs w:val="18"/>
                <w:lang w:val="en-US" w:eastAsia="zh-CN" w:bidi="en-US"/>
              </w:rPr>
              <w:t>4.具有GP</w:t>
            </w:r>
            <w:r>
              <w:rPr>
                <w:rFonts w:hint="default" w:ascii="Times New Roman" w:hAnsi="Times New Roman" w:eastAsia="Times New Roman" w:cs="Times New Roman"/>
                <w:color w:val="auto"/>
                <w:kern w:val="0"/>
                <w:sz w:val="18"/>
                <w:szCs w:val="18"/>
                <w:lang w:eastAsia="en-US" w:bidi="en-US"/>
              </w:rPr>
              <w:t>II</w:t>
            </w:r>
            <w:r>
              <w:rPr>
                <w:rFonts w:hint="eastAsia" w:ascii="Times New Roman" w:hAnsi="Times New Roman" w:eastAsia="宋体" w:cs="Times New Roman"/>
                <w:color w:val="auto"/>
                <w:kern w:val="0"/>
                <w:sz w:val="18"/>
                <w:szCs w:val="18"/>
                <w:lang w:val="en-US" w:eastAsia="zh-CN" w:bidi="en-US"/>
              </w:rPr>
              <w:t>b-</w:t>
            </w:r>
            <w:r>
              <w:rPr>
                <w:rFonts w:hint="default" w:ascii="Times New Roman" w:hAnsi="Times New Roman" w:eastAsia="Times New Roman" w:cs="Times New Roman"/>
                <w:color w:val="auto"/>
                <w:kern w:val="0"/>
                <w:sz w:val="18"/>
                <w:szCs w:val="18"/>
                <w:lang w:eastAsia="en-US" w:bidi="en-US"/>
              </w:rPr>
              <w:t>III</w:t>
            </w:r>
            <w:r>
              <w:rPr>
                <w:rFonts w:hint="eastAsia" w:ascii="Times New Roman" w:hAnsi="Times New Roman" w:eastAsia="宋体" w:cs="Times New Roman"/>
                <w:color w:val="auto"/>
                <w:kern w:val="0"/>
                <w:sz w:val="18"/>
                <w:szCs w:val="18"/>
                <w:lang w:val="en-US" w:eastAsia="zh-CN" w:bidi="en-US"/>
              </w:rPr>
              <w:t>a和</w:t>
            </w:r>
            <w:r>
              <w:rPr>
                <w:rFonts w:hint="default" w:ascii="Calibri" w:hAnsi="Calibri" w:eastAsia="宋体" w:cs="Calibri"/>
                <w:color w:val="auto"/>
                <w:kern w:val="0"/>
                <w:sz w:val="18"/>
                <w:szCs w:val="18"/>
                <w:lang w:val="en-US" w:eastAsia="zh-CN" w:bidi="en-US"/>
              </w:rPr>
              <w:t>/</w:t>
            </w:r>
            <w:r>
              <w:rPr>
                <w:rFonts w:hint="eastAsia" w:ascii="Times New Roman" w:hAnsi="Times New Roman" w:eastAsia="宋体" w:cs="Times New Roman"/>
                <w:color w:val="auto"/>
                <w:kern w:val="0"/>
                <w:sz w:val="18"/>
                <w:szCs w:val="18"/>
                <w:lang w:val="en-US" w:eastAsia="zh-CN" w:bidi="en-US"/>
              </w:rPr>
              <w:t>或HLA抗体和既往或现在对血小板输注无效或不佳的血小板无力症患者。</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jc w:val="both"/>
              <w:rPr>
                <w:rFonts w:hint="eastAsia" w:ascii="Times New Roman" w:hAnsi="Times New Roman" w:eastAsia="Times New Roman" w:cs="Times New Roman"/>
                <w:color w:val="FF0000"/>
                <w:kern w:val="0"/>
                <w:sz w:val="18"/>
                <w:szCs w:val="18"/>
                <w:lang w:val="en-US" w:eastAsia="zh-CN" w:bidi="en-US"/>
              </w:rPr>
            </w:pPr>
            <w:bookmarkStart w:id="0" w:name="_GoBack"/>
            <w:bookmarkEnd w:id="0"/>
            <w:r>
              <w:rPr>
                <w:rFonts w:hint="eastAsia" w:ascii="Times New Roman" w:hAnsi="Times New Roman" w:eastAsia="Times New Roman" w:cs="Times New Roman"/>
                <w:color w:val="FF0000"/>
                <w:kern w:val="0"/>
                <w:sz w:val="18"/>
                <w:szCs w:val="18"/>
                <w:lang w:val="en-US" w:eastAsia="zh-CN" w:bidi="en-US"/>
              </w:rPr>
              <w:t>省医保特药，</w:t>
            </w:r>
          </w:p>
          <w:p>
            <w:pPr>
              <w:spacing w:line="320" w:lineRule="exact"/>
              <w:jc w:val="center"/>
              <w:rPr>
                <w:rFonts w:hint="eastAsia" w:ascii="Times New Roman" w:hAnsi="Times New Roman" w:eastAsia="Times New Roman" w:cs="Times New Roman"/>
                <w:color w:val="FF0000"/>
                <w:kern w:val="0"/>
                <w:sz w:val="18"/>
                <w:szCs w:val="18"/>
                <w:lang w:val="en-US" w:eastAsia="zh-CN" w:bidi="en-US"/>
              </w:rPr>
            </w:pPr>
            <w:r>
              <w:rPr>
                <w:rFonts w:hint="eastAsia" w:ascii="Times New Roman" w:hAnsi="Times New Roman" w:eastAsia="Times New Roman" w:cs="Times New Roman"/>
                <w:color w:val="FF0000"/>
                <w:kern w:val="0"/>
                <w:sz w:val="18"/>
                <w:szCs w:val="18"/>
                <w:lang w:val="en-US" w:eastAsia="zh-CN" w:bidi="en-US"/>
              </w:rPr>
              <w:t>市医保未按特药管理</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Times New Roman" w:cs="Times New Roman"/>
                <w:color w:val="FF0000"/>
                <w:kern w:val="0"/>
                <w:sz w:val="18"/>
                <w:szCs w:val="18"/>
                <w:lang w:eastAsia="en-US" w:bidi="en-US"/>
              </w:rPr>
            </w:pPr>
          </w:p>
        </w:tc>
      </w:tr>
    </w:tbl>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912EDD"/>
    <w:rsid w:val="59AF4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2020-04-15T03:22:00Z</dcterms:created>
  <dc:creator>Administrator</dc:creator>
  <cp:lastModifiedBy>郭景华</cp:lastModifiedBy>
  <dcterms:modified xsi:type="dcterms:W3CDTF">2020-04-15T03:25:31Z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